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0E9819">
      <w:pPr>
        <w:pStyle w:val="3"/>
        <w:spacing w:after="644" w:line="312" w:lineRule="auto"/>
        <w:jc w:val="center"/>
        <w:rPr>
          <w:rFonts w:hint="eastAsia" w:ascii="宋体" w:hAnsi="宋体" w:eastAsia="宋体" w:cs="宋体"/>
          <w:b/>
          <w:color w:val="17375E"/>
          <w:sz w:val="56"/>
          <w:lang w:eastAsia="zh-CN"/>
        </w:rPr>
      </w:pPr>
    </w:p>
    <w:p w14:paraId="301D7670">
      <w:pPr>
        <w:pStyle w:val="3"/>
        <w:spacing w:after="644" w:line="312" w:lineRule="auto"/>
        <w:jc w:val="center"/>
      </w:pPr>
      <w:r>
        <w:rPr>
          <w:rFonts w:hint="eastAsia" w:ascii="宋体" w:hAnsi="宋体" w:eastAsia="宋体" w:cs="宋体"/>
          <w:b/>
          <w:color w:val="17375E"/>
          <w:sz w:val="56"/>
          <w:lang w:eastAsia="zh-CN"/>
        </w:rPr>
        <w:t>扬州大学转专业</w:t>
      </w:r>
      <w:r>
        <w:rPr>
          <w:rFonts w:hint="eastAsia" w:ascii="宋体" w:hAnsi="宋体" w:eastAsia="宋体" w:cs="宋体"/>
          <w:b/>
          <w:color w:val="17375E"/>
          <w:sz w:val="56"/>
          <w:lang w:eastAsia="zh-CN"/>
        </w:rPr>
        <w:br w:type="textWrapping"/>
      </w:r>
      <w:r>
        <w:rPr>
          <w:rFonts w:hint="eastAsia" w:ascii="宋体" w:hAnsi="宋体" w:eastAsia="宋体" w:cs="宋体"/>
          <w:b/>
          <w:color w:val="17375E"/>
          <w:sz w:val="56"/>
          <w:lang w:eastAsia="zh-CN"/>
        </w:rPr>
        <w:t>政策白皮书</w:t>
      </w:r>
    </w:p>
    <w:p w14:paraId="630D0D8D">
      <w:pPr>
        <w:spacing w:after="532"/>
        <w:ind w:firstLine="50"/>
        <w:jc w:val="center"/>
      </w:pPr>
      <w:r>
        <w:rPr>
          <w:rFonts w:ascii="微软雅黑" w:hAnsi="微软雅黑"/>
          <w:color w:val="444444"/>
          <w:sz w:val="28"/>
        </w:rPr>
        <w:t xml:space="preserve">2025—2026 </w:t>
      </w:r>
      <w:r>
        <w:rPr>
          <w:rFonts w:hint="eastAsia" w:ascii="宋体" w:hAnsi="宋体" w:eastAsia="宋体" w:cs="宋体"/>
          <w:color w:val="444444"/>
          <w:sz w:val="28"/>
          <w:lang w:eastAsia="zh-CN"/>
        </w:rPr>
        <w:t>学年</w:t>
      </w:r>
    </w:p>
    <w:p w14:paraId="46DE2C90">
      <w:pPr>
        <w:spacing w:line="456" w:lineRule="auto"/>
        <w:jc w:val="center"/>
      </w:pPr>
      <w:r>
        <w:rPr>
          <w:rFonts w:hint="eastAsia" w:ascii="宋体" w:hAnsi="宋体" w:eastAsia="宋体" w:cs="宋体"/>
          <w:color w:val="666666"/>
          <w:lang w:eastAsia="zh-CN"/>
        </w:rPr>
        <w:t>政策依据</w:t>
      </w:r>
      <w:r>
        <w:rPr>
          <w:rFonts w:hint="eastAsia" w:ascii="宋体" w:hAnsi="宋体" w:eastAsia="宋体" w:cs="宋体"/>
          <w:lang w:eastAsia="zh-CN"/>
        </w:rPr>
        <w:t>　扬大教务〔</w:t>
      </w:r>
      <w:r>
        <w:t>2025</w:t>
      </w:r>
      <w:r>
        <w:rPr>
          <w:rFonts w:hint="eastAsia" w:ascii="宋体" w:hAnsi="宋体" w:eastAsia="宋体" w:cs="宋体"/>
          <w:lang w:eastAsia="zh-CN"/>
        </w:rPr>
        <w:t>〕</w:t>
      </w:r>
      <w:r>
        <w:t xml:space="preserve">86 </w:t>
      </w:r>
      <w:r>
        <w:rPr>
          <w:rFonts w:hint="eastAsia" w:ascii="宋体" w:hAnsi="宋体" w:eastAsia="宋体" w:cs="宋体"/>
          <w:lang w:eastAsia="zh-CN"/>
        </w:rPr>
        <w:t>号</w:t>
      </w:r>
    </w:p>
    <w:p w14:paraId="1EA2FD4E">
      <w:pPr>
        <w:spacing w:line="456" w:lineRule="auto"/>
        <w:jc w:val="center"/>
      </w:pPr>
      <w:r>
        <w:rPr>
          <w:rFonts w:hint="eastAsia" w:ascii="宋体" w:hAnsi="宋体" w:eastAsia="宋体" w:cs="宋体"/>
          <w:color w:val="666666"/>
          <w:lang w:eastAsia="zh-CN"/>
        </w:rPr>
        <w:t>编制单位</w:t>
      </w:r>
      <w:r>
        <w:rPr>
          <w:rFonts w:hint="eastAsia" w:ascii="宋体" w:hAnsi="宋体" w:eastAsia="宋体" w:cs="宋体"/>
          <w:lang w:eastAsia="zh-CN"/>
        </w:rPr>
        <w:t>编制单位　扬州大学转专业资料站</w:t>
      </w:r>
    </w:p>
    <w:p w14:paraId="67B22BCC">
      <w:pPr>
        <w:spacing w:line="456" w:lineRule="auto"/>
        <w:jc w:val="center"/>
      </w:pPr>
      <w:r>
        <w:rPr>
          <w:rFonts w:hint="eastAsia" w:ascii="宋体" w:hAnsi="宋体" w:eastAsia="宋体" w:cs="宋体"/>
          <w:color w:val="666666"/>
          <w:lang w:eastAsia="zh-CN"/>
        </w:rPr>
        <w:t>编制时间</w:t>
      </w:r>
      <w:r>
        <w:rPr>
          <w:rFonts w:hint="eastAsia" w:ascii="宋体" w:hAnsi="宋体" w:eastAsia="宋体" w:cs="宋体"/>
          <w:lang w:eastAsia="zh-CN"/>
        </w:rPr>
        <w:t>　</w:t>
      </w:r>
      <w:r>
        <w:t xml:space="preserve">2026 </w:t>
      </w:r>
      <w:r>
        <w:rPr>
          <w:rFonts w:hint="eastAsia" w:ascii="宋体" w:hAnsi="宋体" w:eastAsia="宋体" w:cs="宋体"/>
          <w:lang w:eastAsia="zh-CN"/>
        </w:rPr>
        <w:t>年</w:t>
      </w:r>
      <w:r>
        <w:t xml:space="preserve"> 9 </w:t>
      </w:r>
      <w:r>
        <w:rPr>
          <w:rFonts w:hint="eastAsia" w:ascii="宋体" w:hAnsi="宋体" w:eastAsia="宋体" w:cs="宋体"/>
          <w:lang w:eastAsia="zh-CN"/>
        </w:rPr>
        <w:t>月</w:t>
      </w:r>
      <w:bookmarkStart w:id="0" w:name="_GoBack"/>
      <w:bookmarkEnd w:id="0"/>
    </w:p>
    <w:p w14:paraId="5A3C565F">
      <w:pPr>
        <w:spacing w:before="1814"/>
        <w:jc w:val="center"/>
        <w:rPr>
          <w:rFonts w:hint="eastAsia" w:ascii="宋体" w:hAnsi="宋体" w:eastAsia="宋体" w:cs="宋体"/>
          <w:color w:val="666666"/>
          <w:sz w:val="19"/>
          <w:lang w:eastAsia="zh-CN"/>
        </w:rPr>
      </w:pPr>
    </w:p>
    <w:p w14:paraId="02552462">
      <w:pPr>
        <w:spacing w:before="1814"/>
        <w:jc w:val="center"/>
      </w:pPr>
      <w:r>
        <w:rPr>
          <w:rFonts w:hint="eastAsia" w:ascii="宋体" w:hAnsi="宋体" w:eastAsia="宋体" w:cs="宋体"/>
          <w:color w:val="666666"/>
          <w:sz w:val="19"/>
          <w:lang w:eastAsia="zh-CN"/>
        </w:rPr>
        <w:t>本白皮书仅供家长咨询参考，不作为申请依据或录取承诺</w:t>
      </w:r>
    </w:p>
    <w:p w14:paraId="41B7F9FA">
      <w:pPr>
        <w:sectPr>
          <w:pgSz w:w="11906" w:h="16838"/>
          <w:pgMar w:top="1417" w:right="1417" w:bottom="1134" w:left="1417" w:header="720" w:footer="720" w:gutter="0"/>
          <w:cols w:space="720" w:num="1"/>
        </w:sectPr>
      </w:pPr>
    </w:p>
    <w:p w14:paraId="4928818B">
      <w:pPr>
        <w:keepNext w:val="0"/>
        <w:keepLines w:val="0"/>
        <w:pageBreakBefore w:val="0"/>
        <w:widowControl/>
        <w:kinsoku/>
        <w:wordWrap/>
        <w:overflowPunct/>
        <w:topLinePunct w:val="0"/>
        <w:autoSpaceDE/>
        <w:autoSpaceDN/>
        <w:bidi w:val="0"/>
        <w:adjustRightInd/>
        <w:snapToGrid/>
        <w:spacing w:after="108" w:line="372" w:lineRule="auto"/>
        <w:ind w:firstLine="440" w:firstLineChars="200"/>
        <w:jc w:val="both"/>
        <w:textAlignment w:val="auto"/>
      </w:pPr>
      <w:r>
        <w:rPr>
          <w:rFonts w:hint="eastAsia" w:ascii="宋体" w:hAnsi="宋体" w:eastAsia="宋体" w:cs="宋体"/>
          <w:lang w:eastAsia="zh-CN"/>
        </w:rPr>
        <w:t>本白皮书依据《扬州大学关于做好</w:t>
      </w:r>
      <w:r>
        <w:t xml:space="preserve"> 2025 </w:t>
      </w:r>
      <w:r>
        <w:rPr>
          <w:rFonts w:hint="eastAsia" w:ascii="宋体" w:hAnsi="宋体" w:eastAsia="宋体" w:cs="宋体"/>
          <w:lang w:eastAsia="zh-CN"/>
        </w:rPr>
        <w:t>年学生转专业工作的通知》（扬大教务〔</w:t>
      </w:r>
      <w:r>
        <w:t>2025</w:t>
      </w:r>
      <w:r>
        <w:rPr>
          <w:rFonts w:hint="eastAsia" w:ascii="宋体" w:hAnsi="宋体" w:eastAsia="宋体" w:cs="宋体"/>
          <w:lang w:eastAsia="zh-CN"/>
        </w:rPr>
        <w:t>〕</w:t>
      </w:r>
      <w:r>
        <w:t xml:space="preserve">86 </w:t>
      </w:r>
      <w:r>
        <w:rPr>
          <w:rFonts w:hint="eastAsia" w:ascii="宋体" w:hAnsi="宋体" w:eastAsia="宋体" w:cs="宋体"/>
          <w:lang w:eastAsia="zh-CN"/>
        </w:rPr>
        <w:t>号，</w:t>
      </w:r>
      <w:r>
        <w:t xml:space="preserve">2025 </w:t>
      </w:r>
      <w:r>
        <w:rPr>
          <w:rFonts w:hint="eastAsia" w:ascii="宋体" w:hAnsi="宋体" w:eastAsia="宋体" w:cs="宋体"/>
          <w:lang w:eastAsia="zh-CN"/>
        </w:rPr>
        <w:t>年</w:t>
      </w:r>
      <w:r>
        <w:t xml:space="preserve"> 12 </w:t>
      </w:r>
      <w:r>
        <w:rPr>
          <w:rFonts w:hint="eastAsia" w:ascii="宋体" w:hAnsi="宋体" w:eastAsia="宋体" w:cs="宋体"/>
          <w:lang w:eastAsia="zh-CN"/>
        </w:rPr>
        <w:t>月</w:t>
      </w:r>
      <w:r>
        <w:t xml:space="preserve"> 5 </w:t>
      </w:r>
      <w:r>
        <w:rPr>
          <w:rFonts w:hint="eastAsia" w:ascii="宋体" w:hAnsi="宋体" w:eastAsia="宋体" w:cs="宋体"/>
          <w:lang w:eastAsia="zh-CN"/>
        </w:rPr>
        <w:t>日印发）编制，内容忠于文件原文，供家长咨询交流使用。正文按申请条件、转入规则、考核、录取、学籍管理、日程安排逐项说明。文中所列时间与要求对应</w:t>
      </w:r>
      <w:r>
        <w:t xml:space="preserve"> 2025—2026 </w:t>
      </w:r>
      <w:r>
        <w:rPr>
          <w:rFonts w:hint="eastAsia" w:ascii="宋体" w:hAnsi="宋体" w:eastAsia="宋体" w:cs="宋体"/>
          <w:lang w:eastAsia="zh-CN"/>
        </w:rPr>
        <w:t>学年工作安排，此后各学年以学校届时发布的通知为准。</w:t>
      </w:r>
    </w:p>
    <w:p w14:paraId="4CB55825">
      <w:pPr>
        <w:pStyle w:val="4"/>
      </w:pPr>
      <w:r>
        <w:rPr>
          <w:rFonts w:hint="eastAsia" w:ascii="宋体" w:hAnsi="宋体" w:eastAsia="宋体" w:cs="宋体"/>
          <w:b/>
          <w:color w:val="1F4E79"/>
          <w:sz w:val="30"/>
          <w:lang w:eastAsia="zh-CN"/>
        </w:rPr>
        <w:t>一、总则</w:t>
      </w:r>
    </w:p>
    <w:p w14:paraId="27923099">
      <w:pPr>
        <w:pStyle w:val="5"/>
      </w:pPr>
      <w:r>
        <w:rPr>
          <w:rFonts w:hint="eastAsia" w:ascii="宋体" w:hAnsi="宋体" w:eastAsia="宋体" w:cs="宋体"/>
          <w:b/>
          <w:color w:val="17375E"/>
          <w:sz w:val="24"/>
          <w:lang w:eastAsia="zh-CN"/>
        </w:rPr>
        <w:t>（一）转专业的两种方式</w:t>
      </w:r>
    </w:p>
    <w:p w14:paraId="0AEB32E7">
      <w:pPr>
        <w:jc w:val="both"/>
      </w:pPr>
      <w:r>
        <w:rPr>
          <w:rFonts w:hint="eastAsia" w:ascii="宋体" w:hAnsi="宋体" w:eastAsia="宋体" w:cs="宋体"/>
          <w:lang w:eastAsia="zh-CN"/>
        </w:rPr>
        <w:t>扬州大学本科生转专业分为</w:t>
      </w:r>
      <w:r>
        <w:rPr>
          <w:rFonts w:hint="eastAsia" w:ascii="宋体" w:hAnsi="宋体" w:eastAsia="宋体" w:cs="宋体"/>
          <w:b/>
          <w:lang w:eastAsia="zh-CN"/>
        </w:rPr>
        <w:t>集中考核转专业</w:t>
      </w:r>
      <w:r>
        <w:rPr>
          <w:rFonts w:hint="eastAsia" w:ascii="宋体" w:hAnsi="宋体" w:eastAsia="宋体" w:cs="宋体"/>
          <w:lang w:eastAsia="zh-CN"/>
        </w:rPr>
        <w:t>与</w:t>
      </w:r>
      <w:r>
        <w:rPr>
          <w:rFonts w:hint="eastAsia" w:ascii="宋体" w:hAnsi="宋体" w:eastAsia="宋体" w:cs="宋体"/>
          <w:b/>
          <w:lang w:eastAsia="zh-CN"/>
        </w:rPr>
        <w:t>非集中考核转专业</w:t>
      </w:r>
      <w:r>
        <w:rPr>
          <w:rFonts w:hint="eastAsia" w:ascii="宋体" w:hAnsi="宋体" w:eastAsia="宋体" w:cs="宋体"/>
          <w:lang w:eastAsia="zh-CN"/>
        </w:rPr>
        <w:t>两类。集中考核转专业由学校统一组织，面向本科一、二年级在校学生；本白皮书主要说明该类转专业。非集中考核转专业见第三部分第（五）条。</w:t>
      </w:r>
    </w:p>
    <w:p w14:paraId="614B1532">
      <w:pPr>
        <w:pStyle w:val="5"/>
      </w:pPr>
      <w:r>
        <w:rPr>
          <w:rFonts w:hint="eastAsia" w:ascii="宋体" w:hAnsi="宋体" w:eastAsia="宋体" w:cs="宋体"/>
          <w:b/>
          <w:color w:val="17375E"/>
          <w:sz w:val="24"/>
          <w:lang w:eastAsia="zh-CN"/>
        </w:rPr>
        <w:t>（二）基本安排速览</w:t>
      </w:r>
    </w:p>
    <w:tbl>
      <w:tblPr>
        <w:tblStyle w:val="32"/>
        <w:tblW w:w="5000" w:type="pct"/>
        <w:tblInd w:w="0" w:type="dxa"/>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Layout w:type="autofit"/>
        <w:tblCellMar>
          <w:top w:w="0" w:type="dxa"/>
          <w:left w:w="108" w:type="dxa"/>
          <w:bottom w:w="0" w:type="dxa"/>
          <w:right w:w="108" w:type="dxa"/>
        </w:tblCellMar>
      </w:tblPr>
      <w:tblGrid>
        <w:gridCol w:w="4680"/>
        <w:gridCol w:w="4680"/>
      </w:tblGrid>
      <w:tr w14:paraId="6EFCF894">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1701" w:type="dxa"/>
            <w:tcBorders>
              <w:top w:val="single" w:color="1F4E79" w:sz="6" w:space="0"/>
              <w:left w:val="single" w:color="1F4E79" w:sz="6" w:space="0"/>
              <w:bottom w:val="single" w:color="1F4E79" w:sz="6" w:space="0"/>
              <w:right w:val="single" w:color="1F4E79" w:sz="6" w:space="0"/>
            </w:tcBorders>
            <w:shd w:val="clear" w:color="auto" w:fill="1F4E79"/>
            <w:tcMar>
              <w:top w:w="108" w:type="dxa"/>
              <w:left w:w="144" w:type="dxa"/>
              <w:bottom w:w="108" w:type="dxa"/>
              <w:right w:w="144" w:type="dxa"/>
            </w:tcMar>
            <w:vAlign w:val="center"/>
          </w:tcPr>
          <w:p w14:paraId="0B4D7243">
            <w:pPr>
              <w:spacing w:before="60" w:after="60" w:line="240" w:lineRule="auto"/>
              <w:jc w:val="left"/>
            </w:pPr>
            <w:r>
              <w:rPr>
                <w:rFonts w:hint="eastAsia" w:ascii="微软雅黑" w:hAnsi="微软雅黑" w:eastAsia="微软雅黑"/>
                <w:b/>
                <w:color w:val="FFFFFF"/>
              </w:rPr>
              <w:t>事项</w:t>
            </w:r>
          </w:p>
        </w:tc>
        <w:tc>
          <w:tcPr>
            <w:tcW w:w="4320" w:type="dxa"/>
            <w:tcBorders>
              <w:top w:val="single" w:color="1F4E79" w:sz="6" w:space="0"/>
              <w:left w:val="single" w:color="1F4E79" w:sz="6" w:space="0"/>
              <w:bottom w:val="single" w:color="1F4E79" w:sz="6" w:space="0"/>
              <w:right w:val="single" w:color="1F4E79" w:sz="6" w:space="0"/>
            </w:tcBorders>
            <w:shd w:val="clear" w:color="auto" w:fill="1F4E79"/>
            <w:tcMar>
              <w:top w:w="108" w:type="dxa"/>
              <w:left w:w="144" w:type="dxa"/>
              <w:bottom w:w="108" w:type="dxa"/>
              <w:right w:w="144" w:type="dxa"/>
            </w:tcMar>
            <w:vAlign w:val="center"/>
          </w:tcPr>
          <w:p w14:paraId="7C4B808B">
            <w:pPr>
              <w:spacing w:before="60" w:after="60" w:line="240" w:lineRule="auto"/>
              <w:jc w:val="left"/>
            </w:pPr>
            <w:r>
              <w:rPr>
                <w:rFonts w:hint="eastAsia" w:ascii="微软雅黑" w:hAnsi="微软雅黑" w:eastAsia="微软雅黑"/>
                <w:b/>
                <w:color w:val="FFFFFF"/>
              </w:rPr>
              <w:t>内容</w:t>
            </w:r>
          </w:p>
        </w:tc>
      </w:tr>
      <w:tr w14:paraId="3F0E1E94">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4320"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4E20CFEC">
            <w:pPr>
              <w:spacing w:before="60" w:after="60" w:line="240" w:lineRule="auto"/>
            </w:pPr>
            <w:r>
              <w:t>申请对象</w:t>
            </w:r>
          </w:p>
        </w:tc>
        <w:tc>
          <w:tcPr>
            <w:tcW w:w="4320"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7D9BFCC2">
            <w:pPr>
              <w:spacing w:before="60" w:after="60" w:line="240" w:lineRule="auto"/>
            </w:pPr>
            <w:r>
              <w:t>普通本科一、二年级在校学生（须同时满足申请条件，见第二部分）</w:t>
            </w:r>
          </w:p>
        </w:tc>
      </w:tr>
      <w:tr w14:paraId="0BF70FAC">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PrEx>
        <w:tc>
          <w:tcPr>
            <w:tcW w:w="4320"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2AFDC0F2">
            <w:pPr>
              <w:spacing w:before="60" w:after="60" w:line="240" w:lineRule="auto"/>
            </w:pPr>
            <w:r>
              <w:t>报名时间</w:t>
            </w:r>
          </w:p>
        </w:tc>
        <w:tc>
          <w:tcPr>
            <w:tcW w:w="4320"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75481718">
            <w:pPr>
              <w:spacing w:before="60" w:after="60" w:line="240" w:lineRule="auto"/>
            </w:pPr>
            <w:r>
              <w:t>2025年12月15日—19日（共5天，网上报名）</w:t>
            </w:r>
          </w:p>
        </w:tc>
      </w:tr>
      <w:tr w14:paraId="28840AA6">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PrEx>
        <w:tc>
          <w:tcPr>
            <w:tcW w:w="4320"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69A2D0D6">
            <w:pPr>
              <w:spacing w:before="60" w:after="60" w:line="240" w:lineRule="auto"/>
            </w:pPr>
            <w:r>
              <w:t>初试</w:t>
            </w:r>
          </w:p>
        </w:tc>
        <w:tc>
          <w:tcPr>
            <w:tcW w:w="4320"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6E565EF3">
            <w:pPr>
              <w:spacing w:before="60" w:after="60" w:line="240" w:lineRule="auto"/>
            </w:pPr>
            <w:r>
              <w:t>2026年1月18日上午，学校统一组织笔试，占总成绩60%</w:t>
            </w:r>
          </w:p>
        </w:tc>
      </w:tr>
      <w:tr w14:paraId="57F0CE22">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4320"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426E8A97">
            <w:pPr>
              <w:spacing w:before="60" w:after="60" w:line="240" w:lineRule="auto"/>
            </w:pPr>
            <w:r>
              <w:t>复试</w:t>
            </w:r>
          </w:p>
        </w:tc>
        <w:tc>
          <w:tcPr>
            <w:tcW w:w="4320"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5BF227C8">
            <w:pPr>
              <w:spacing w:before="60" w:after="60" w:line="240" w:lineRule="auto"/>
            </w:pPr>
            <w:r>
              <w:t>寒假第一周内，由学院组织，占总成绩40%</w:t>
            </w:r>
          </w:p>
        </w:tc>
      </w:tr>
      <w:tr w14:paraId="1E46293F">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4320"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67136E86">
            <w:pPr>
              <w:spacing w:before="60" w:after="60" w:line="240" w:lineRule="auto"/>
            </w:pPr>
            <w:r>
              <w:t>结果公示</w:t>
            </w:r>
          </w:p>
        </w:tc>
        <w:tc>
          <w:tcPr>
            <w:tcW w:w="4320"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6446EDA6">
            <w:pPr>
              <w:spacing w:before="60" w:after="60" w:line="240" w:lineRule="auto"/>
            </w:pPr>
            <w:r>
              <w:t>复试结束后公示拟转专业学生名单</w:t>
            </w:r>
          </w:p>
        </w:tc>
      </w:tr>
      <w:tr w14:paraId="4A8C0882">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4320"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46EFBE89">
            <w:pPr>
              <w:spacing w:before="60" w:after="60" w:line="240" w:lineRule="auto"/>
            </w:pPr>
            <w:r>
              <w:t>成绩构成</w:t>
            </w:r>
          </w:p>
        </w:tc>
        <w:tc>
          <w:tcPr>
            <w:tcW w:w="4320"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12FF89B0">
            <w:pPr>
              <w:spacing w:before="60" w:after="60" w:line="240" w:lineRule="auto"/>
            </w:pPr>
            <w:r>
              <w:t>总成绩=初试成绩×60% + 复试成绩×40%</w:t>
            </w:r>
          </w:p>
        </w:tc>
      </w:tr>
    </w:tbl>
    <w:p w14:paraId="119D56F5"/>
    <w:p w14:paraId="1DFAB8F5">
      <w:pPr>
        <w:pStyle w:val="4"/>
      </w:pPr>
      <w:r>
        <w:rPr>
          <w:rFonts w:hint="eastAsia" w:ascii="宋体" w:hAnsi="宋体" w:eastAsia="宋体" w:cs="宋体"/>
          <w:b/>
          <w:color w:val="1F4E79"/>
          <w:sz w:val="30"/>
          <w:lang w:eastAsia="zh-CN"/>
        </w:rPr>
        <w:t>二、申请条件</w:t>
      </w:r>
    </w:p>
    <w:p w14:paraId="19A71317">
      <w:pPr>
        <w:jc w:val="both"/>
      </w:pPr>
      <w:r>
        <w:rPr>
          <w:rFonts w:hint="eastAsia" w:ascii="宋体" w:hAnsi="宋体" w:eastAsia="宋体" w:cs="宋体"/>
          <w:lang w:eastAsia="zh-CN"/>
        </w:rPr>
        <w:t>申请转专业的学生须</w:t>
      </w:r>
      <w:r>
        <w:rPr>
          <w:rFonts w:hint="eastAsia" w:ascii="宋体" w:hAnsi="宋体" w:eastAsia="宋体" w:cs="宋体"/>
          <w:b/>
          <w:lang w:eastAsia="zh-CN"/>
        </w:rPr>
        <w:t>同时满足</w:t>
      </w:r>
      <w:r>
        <w:rPr>
          <w:rFonts w:hint="eastAsia" w:ascii="宋体" w:hAnsi="宋体" w:eastAsia="宋体" w:cs="宋体"/>
          <w:lang w:eastAsia="zh-CN"/>
        </w:rPr>
        <w:t>下列条件：</w:t>
      </w:r>
    </w:p>
    <w:p w14:paraId="3E48EADA">
      <w:pPr>
        <w:pStyle w:val="5"/>
      </w:pPr>
      <w:r>
        <w:rPr>
          <w:rFonts w:hint="eastAsia" w:ascii="宋体" w:hAnsi="宋体" w:eastAsia="宋体" w:cs="宋体"/>
          <w:b/>
          <w:color w:val="17375E"/>
          <w:sz w:val="24"/>
          <w:lang w:eastAsia="zh-CN"/>
        </w:rPr>
        <w:t>（一）思想品德合格</w:t>
      </w:r>
    </w:p>
    <w:p w14:paraId="132137E2">
      <w:pPr>
        <w:jc w:val="both"/>
      </w:pPr>
      <w:r>
        <w:rPr>
          <w:rFonts w:hint="eastAsia" w:ascii="宋体" w:hAnsi="宋体" w:eastAsia="宋体" w:cs="宋体"/>
          <w:lang w:eastAsia="zh-CN"/>
        </w:rPr>
        <w:t>遵守《高等学校学生行为准则（试行）》和学校规章制度，无违规、违纪记录。</w:t>
      </w:r>
    </w:p>
    <w:p w14:paraId="308AD576">
      <w:pPr>
        <w:pStyle w:val="5"/>
      </w:pPr>
      <w:r>
        <w:rPr>
          <w:rFonts w:hint="eastAsia" w:ascii="宋体" w:hAnsi="宋体" w:eastAsia="宋体" w:cs="宋体"/>
          <w:b/>
          <w:color w:val="17375E"/>
          <w:sz w:val="24"/>
          <w:lang w:eastAsia="zh-CN"/>
        </w:rPr>
        <w:t>（二）身体条件合格</w:t>
      </w:r>
    </w:p>
    <w:p w14:paraId="153C26DB">
      <w:pPr>
        <w:jc w:val="both"/>
      </w:pPr>
      <w:r>
        <w:rPr>
          <w:rFonts w:hint="eastAsia" w:ascii="宋体" w:hAnsi="宋体" w:eastAsia="宋体" w:cs="宋体"/>
          <w:lang w:eastAsia="zh-CN"/>
        </w:rPr>
        <w:t>身体条件符合拟转入专业招生体检标准的要求。</w:t>
      </w:r>
    </w:p>
    <w:p w14:paraId="00F85AB2">
      <w:pPr>
        <w:pStyle w:val="5"/>
      </w:pPr>
      <w:r>
        <w:rPr>
          <w:rFonts w:hint="eastAsia" w:ascii="宋体" w:hAnsi="宋体" w:eastAsia="宋体" w:cs="宋体"/>
          <w:b/>
          <w:color w:val="17375E"/>
          <w:sz w:val="24"/>
          <w:lang w:eastAsia="zh-CN"/>
        </w:rPr>
        <w:t>（三）志向与兴趣明确</w:t>
      </w:r>
    </w:p>
    <w:p w14:paraId="510BB0D2">
      <w:pPr>
        <w:jc w:val="both"/>
      </w:pPr>
      <w:r>
        <w:rPr>
          <w:rFonts w:hint="eastAsia" w:ascii="宋体" w:hAnsi="宋体" w:eastAsia="宋体" w:cs="宋体"/>
          <w:lang w:eastAsia="zh-CN"/>
        </w:rPr>
        <w:t>对拟转入专业有明确的志向和爱好。</w:t>
      </w:r>
    </w:p>
    <w:p w14:paraId="1BFBFE1B">
      <w:pPr>
        <w:pStyle w:val="5"/>
      </w:pPr>
      <w:r>
        <w:rPr>
          <w:rFonts w:hint="eastAsia" w:ascii="宋体" w:hAnsi="宋体" w:eastAsia="宋体" w:cs="宋体"/>
          <w:b/>
          <w:color w:val="17375E"/>
          <w:sz w:val="24"/>
          <w:lang w:eastAsia="zh-CN"/>
        </w:rPr>
        <w:t>（四）招生形式不冲突</w:t>
      </w:r>
    </w:p>
    <w:p w14:paraId="7C8A4733">
      <w:pPr>
        <w:jc w:val="both"/>
      </w:pPr>
      <w:r>
        <w:rPr>
          <w:rFonts w:hint="eastAsia" w:ascii="宋体" w:hAnsi="宋体" w:eastAsia="宋体" w:cs="宋体"/>
          <w:lang w:eastAsia="zh-CN"/>
        </w:rPr>
        <w:t>申请人录取时的招生形式，须与拟转入专业所属招生形式一致或兼容，主要包括：</w:t>
      </w:r>
    </w:p>
    <w:p w14:paraId="0CD89455">
      <w:pPr>
        <w:pStyle w:val="16"/>
        <w:spacing w:after="72" w:line="372" w:lineRule="auto"/>
      </w:pPr>
      <w:r>
        <w:rPr>
          <w:rFonts w:hint="eastAsia" w:ascii="宋体" w:hAnsi="宋体" w:eastAsia="宋体" w:cs="宋体"/>
          <w:lang w:eastAsia="zh-CN"/>
        </w:rPr>
        <w:t>体育类、艺术类、对口单招等不同招生形式录取的专业之间不得互转；体育、艺术类专业学生只能在本专业大类内转出或转入；</w:t>
      </w:r>
    </w:p>
    <w:p w14:paraId="528B330C">
      <w:pPr>
        <w:pStyle w:val="16"/>
        <w:spacing w:after="72" w:line="372" w:lineRule="auto"/>
      </w:pPr>
      <w:r>
        <w:rPr>
          <w:rFonts w:hint="eastAsia" w:ascii="宋体" w:hAnsi="宋体" w:eastAsia="宋体" w:cs="宋体"/>
          <w:lang w:eastAsia="zh-CN"/>
        </w:rPr>
        <w:t>中外合作办学、中外学分互认联合培养专业的学生，不得转出录取项目；</w:t>
      </w:r>
    </w:p>
    <w:p w14:paraId="6CFB7BAC">
      <w:pPr>
        <w:pStyle w:val="16"/>
        <w:spacing w:after="72" w:line="372" w:lineRule="auto"/>
      </w:pPr>
      <w:r>
        <w:rPr>
          <w:rFonts w:hint="eastAsia" w:ascii="宋体" w:hAnsi="宋体" w:eastAsia="宋体" w:cs="宋体"/>
          <w:lang w:eastAsia="zh-CN"/>
        </w:rPr>
        <w:t>以特殊招生形式（含国家专项、地方专项等）录取的学生，有相关规定或录取前与学校有明确约定的，不得转专业。</w:t>
      </w:r>
    </w:p>
    <w:p w14:paraId="0449114C">
      <w:pPr>
        <w:pStyle w:val="4"/>
      </w:pPr>
      <w:r>
        <w:rPr>
          <w:rFonts w:hint="eastAsia" w:ascii="宋体" w:hAnsi="宋体" w:eastAsia="宋体" w:cs="宋体"/>
          <w:b/>
          <w:color w:val="1F4E79"/>
          <w:sz w:val="30"/>
          <w:lang w:eastAsia="zh-CN"/>
        </w:rPr>
        <w:t>三、转入专业、名额与志愿</w:t>
      </w:r>
    </w:p>
    <w:p w14:paraId="61315127">
      <w:pPr>
        <w:pStyle w:val="5"/>
      </w:pPr>
      <w:r>
        <w:rPr>
          <w:rFonts w:hint="eastAsia" w:ascii="宋体" w:hAnsi="宋体" w:eastAsia="宋体" w:cs="宋体"/>
          <w:b/>
          <w:color w:val="17375E"/>
          <w:sz w:val="24"/>
          <w:lang w:eastAsia="zh-CN"/>
        </w:rPr>
        <w:t>（一）转入专业范围</w:t>
      </w:r>
    </w:p>
    <w:p w14:paraId="564C44C3">
      <w:pPr>
        <w:jc w:val="both"/>
      </w:pPr>
      <w:r>
        <w:rPr>
          <w:rFonts w:hint="eastAsia" w:ascii="宋体" w:hAnsi="宋体" w:eastAsia="宋体" w:cs="宋体"/>
          <w:lang w:eastAsia="zh-CN"/>
        </w:rPr>
        <w:t>普通专业学生可在全校专业范围内申请转入专业。年级衔接规则见第六部分第（二）条。</w:t>
      </w:r>
    </w:p>
    <w:p w14:paraId="1B6DA820">
      <w:pPr>
        <w:pStyle w:val="5"/>
      </w:pPr>
      <w:r>
        <w:rPr>
          <w:rFonts w:hint="eastAsia" w:ascii="宋体" w:hAnsi="宋体" w:eastAsia="宋体" w:cs="宋体"/>
          <w:b/>
          <w:color w:val="17375E"/>
          <w:sz w:val="24"/>
          <w:lang w:eastAsia="zh-CN"/>
        </w:rPr>
        <w:t>（二）接收名额</w:t>
      </w:r>
    </w:p>
    <w:p w14:paraId="34D6306B">
      <w:pPr>
        <w:jc w:val="both"/>
      </w:pPr>
      <w:r>
        <w:rPr>
          <w:rFonts w:hint="eastAsia" w:ascii="宋体" w:hAnsi="宋体" w:eastAsia="宋体" w:cs="宋体"/>
          <w:lang w:eastAsia="zh-CN"/>
        </w:rPr>
        <w:t>各学院根据师资队伍、招生就业、办学条件等实际情况确定各专业可接收转入学生人数，报教务处审核后公布。实际录取人数不得超过公布名额。</w:t>
      </w:r>
    </w:p>
    <w:p w14:paraId="1B34501A">
      <w:pPr>
        <w:pStyle w:val="5"/>
      </w:pPr>
      <w:r>
        <w:rPr>
          <w:rFonts w:hint="eastAsia" w:ascii="宋体" w:hAnsi="宋体" w:eastAsia="宋体" w:cs="宋体"/>
          <w:b/>
          <w:color w:val="17375E"/>
          <w:sz w:val="24"/>
          <w:lang w:eastAsia="zh-CN"/>
        </w:rPr>
        <w:t>（三）志愿填报</w:t>
      </w:r>
    </w:p>
    <w:p w14:paraId="096FBDF4">
      <w:pPr>
        <w:jc w:val="both"/>
      </w:pPr>
      <w:r>
        <w:rPr>
          <w:rFonts w:hint="eastAsia" w:ascii="宋体" w:hAnsi="宋体" w:eastAsia="宋体" w:cs="宋体"/>
          <w:lang w:eastAsia="zh-CN"/>
        </w:rPr>
        <w:t xml:space="preserve">每名学生可填报 </w:t>
      </w:r>
      <w:r>
        <w:rPr>
          <w:rFonts w:hint="eastAsia" w:ascii="宋体" w:hAnsi="宋体" w:eastAsia="宋体" w:cs="宋体"/>
          <w:b/>
          <w:lang w:eastAsia="zh-CN"/>
        </w:rPr>
        <w:t>1 个转入专业志愿</w:t>
      </w:r>
      <w:r>
        <w:rPr>
          <w:rFonts w:hint="eastAsia" w:ascii="宋体" w:hAnsi="宋体" w:eastAsia="宋体" w:cs="宋体"/>
          <w:lang w:eastAsia="zh-CN"/>
        </w:rPr>
        <w:t xml:space="preserve">和 </w:t>
      </w:r>
      <w:r>
        <w:rPr>
          <w:rFonts w:hint="eastAsia" w:ascii="宋体" w:hAnsi="宋体" w:eastAsia="宋体" w:cs="宋体"/>
          <w:b/>
          <w:lang w:eastAsia="zh-CN"/>
        </w:rPr>
        <w:t>1 个调剂专业志愿</w:t>
      </w:r>
      <w:r>
        <w:rPr>
          <w:rFonts w:hint="eastAsia" w:ascii="宋体" w:hAnsi="宋体" w:eastAsia="宋体" w:cs="宋体"/>
          <w:lang w:eastAsia="zh-CN"/>
        </w:rPr>
        <w:t>。调剂范围限于拟转入学院内初试考核科目和复试考核要求一致的专业。</w:t>
      </w:r>
    </w:p>
    <w:p w14:paraId="4EEAFBEC">
      <w:pPr>
        <w:pStyle w:val="5"/>
      </w:pPr>
      <w:r>
        <w:rPr>
          <w:rFonts w:hint="eastAsia" w:ascii="宋体" w:hAnsi="宋体" w:eastAsia="宋体" w:cs="宋体"/>
          <w:b/>
          <w:color w:val="17375E"/>
          <w:sz w:val="24"/>
          <w:lang w:eastAsia="zh-CN"/>
        </w:rPr>
        <w:t>（四）大类招生专业</w:t>
      </w:r>
    </w:p>
    <w:p w14:paraId="7B7F62AB">
      <w:pPr>
        <w:jc w:val="both"/>
      </w:pPr>
      <w:r>
        <w:rPr>
          <w:rFonts w:hint="eastAsia" w:ascii="宋体" w:hAnsi="宋体" w:eastAsia="宋体" w:cs="宋体"/>
          <w:lang w:eastAsia="zh-CN"/>
        </w:rPr>
        <w:t>拟转入专业按专业大类招生、且尚未到专业分流时间的，应先转入该专业大类学习，再按该大类专业分流方案选择具体专业。</w:t>
      </w:r>
    </w:p>
    <w:p w14:paraId="043BE42E">
      <w:pPr>
        <w:pStyle w:val="5"/>
      </w:pPr>
      <w:r>
        <w:rPr>
          <w:rFonts w:hint="eastAsia" w:ascii="宋体" w:hAnsi="宋体" w:eastAsia="宋体" w:cs="宋体"/>
          <w:b/>
          <w:color w:val="17375E"/>
          <w:sz w:val="24"/>
          <w:lang w:eastAsia="zh-CN"/>
        </w:rPr>
        <w:t>（五）非集中考核转专业</w:t>
      </w:r>
    </w:p>
    <w:p w14:paraId="38C8E97E">
      <w:pPr>
        <w:jc w:val="both"/>
        <w:rPr>
          <w:rFonts w:hint="eastAsia" w:ascii="宋体" w:hAnsi="宋体" w:eastAsia="宋体" w:cs="宋体"/>
          <w:lang w:eastAsia="zh-CN"/>
        </w:rPr>
      </w:pPr>
      <w:r>
        <w:rPr>
          <w:rFonts w:hint="eastAsia" w:ascii="宋体" w:hAnsi="宋体" w:eastAsia="宋体" w:cs="宋体"/>
          <w:lang w:eastAsia="zh-CN"/>
        </w:rPr>
        <w:t>符合《扬州大学本科生转专业实施办法（</w:t>
      </w:r>
      <w:r>
        <w:t xml:space="preserve">2025 </w:t>
      </w:r>
      <w:r>
        <w:rPr>
          <w:rFonts w:hint="eastAsia" w:ascii="宋体" w:hAnsi="宋体" w:eastAsia="宋体" w:cs="宋体"/>
          <w:lang w:eastAsia="zh-CN"/>
        </w:rPr>
        <w:t>年修订）》第十条情形的学生，可申请非集中考核转专业；除退役复学学生外，其办理与集中考核转专业同时进行。</w:t>
      </w:r>
    </w:p>
    <w:p w14:paraId="17D33FA3">
      <w:pPr>
        <w:jc w:val="both"/>
        <w:rPr>
          <w:rFonts w:hint="eastAsia" w:ascii="宋体" w:hAnsi="宋体" w:eastAsia="宋体" w:cs="宋体"/>
          <w:lang w:eastAsia="zh-CN"/>
        </w:rPr>
      </w:pPr>
    </w:p>
    <w:p w14:paraId="66C67CC2">
      <w:pPr>
        <w:jc w:val="both"/>
        <w:rPr>
          <w:rFonts w:hint="eastAsia" w:ascii="宋体" w:hAnsi="宋体" w:eastAsia="宋体" w:cs="宋体"/>
          <w:lang w:eastAsia="zh-CN"/>
        </w:rPr>
      </w:pPr>
    </w:p>
    <w:p w14:paraId="77B6DB11">
      <w:pPr>
        <w:pStyle w:val="4"/>
      </w:pPr>
      <w:r>
        <w:rPr>
          <w:rFonts w:hint="eastAsia" w:ascii="宋体" w:hAnsi="宋体" w:eastAsia="宋体" w:cs="宋体"/>
          <w:b/>
          <w:color w:val="1F4E79"/>
          <w:sz w:val="30"/>
          <w:lang w:eastAsia="zh-CN"/>
        </w:rPr>
        <w:t>四、考核</w:t>
      </w:r>
    </w:p>
    <w:p w14:paraId="1EB353CE">
      <w:pPr>
        <w:pStyle w:val="5"/>
      </w:pPr>
      <w:r>
        <w:rPr>
          <w:rFonts w:hint="eastAsia" w:ascii="宋体" w:hAnsi="宋体" w:eastAsia="宋体" w:cs="宋体"/>
          <w:b/>
          <w:color w:val="17375E"/>
          <w:sz w:val="24"/>
          <w:lang w:eastAsia="zh-CN"/>
        </w:rPr>
        <w:t>（一）考核构成</w:t>
      </w:r>
    </w:p>
    <w:tbl>
      <w:tblPr>
        <w:tblStyle w:val="32"/>
        <w:tblW w:w="5000" w:type="pct"/>
        <w:tblInd w:w="0" w:type="dxa"/>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Layout w:type="autofit"/>
        <w:tblCellMar>
          <w:top w:w="0" w:type="dxa"/>
          <w:left w:w="108" w:type="dxa"/>
          <w:bottom w:w="0" w:type="dxa"/>
          <w:right w:w="108" w:type="dxa"/>
        </w:tblCellMar>
      </w:tblPr>
      <w:tblGrid>
        <w:gridCol w:w="1829"/>
        <w:gridCol w:w="1830"/>
        <w:gridCol w:w="1830"/>
        <w:gridCol w:w="2041"/>
        <w:gridCol w:w="1830"/>
      </w:tblGrid>
      <w:tr w14:paraId="4791B44B">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1134" w:type="dxa"/>
            <w:tcBorders>
              <w:top w:val="single" w:color="1F4E79" w:sz="6" w:space="0"/>
              <w:left w:val="single" w:color="1F4E79" w:sz="6" w:space="0"/>
              <w:bottom w:val="single" w:color="1F4E79" w:sz="6" w:space="0"/>
              <w:right w:val="single" w:color="1F4E79" w:sz="6" w:space="0"/>
            </w:tcBorders>
            <w:shd w:val="clear" w:color="auto" w:fill="1F4E79"/>
            <w:tcMar>
              <w:top w:w="108" w:type="dxa"/>
              <w:left w:w="144" w:type="dxa"/>
              <w:bottom w:w="108" w:type="dxa"/>
              <w:right w:w="144" w:type="dxa"/>
            </w:tcMar>
            <w:vAlign w:val="center"/>
          </w:tcPr>
          <w:p w14:paraId="1817612F">
            <w:pPr>
              <w:spacing w:before="60" w:after="60" w:line="240" w:lineRule="auto"/>
              <w:jc w:val="left"/>
            </w:pPr>
            <w:r>
              <w:rPr>
                <w:rFonts w:hint="eastAsia" w:ascii="微软雅黑" w:hAnsi="微软雅黑" w:eastAsia="微软雅黑"/>
                <w:b/>
                <w:color w:val="FFFFFF"/>
              </w:rPr>
              <w:t>环节</w:t>
            </w:r>
          </w:p>
        </w:tc>
        <w:tc>
          <w:tcPr>
            <w:tcW w:w="1134" w:type="dxa"/>
            <w:tcBorders>
              <w:top w:val="single" w:color="1F4E79" w:sz="6" w:space="0"/>
              <w:left w:val="single" w:color="1F4E79" w:sz="6" w:space="0"/>
              <w:bottom w:val="single" w:color="1F4E79" w:sz="6" w:space="0"/>
              <w:right w:val="single" w:color="1F4E79" w:sz="6" w:space="0"/>
            </w:tcBorders>
            <w:shd w:val="clear" w:color="auto" w:fill="1F4E79"/>
            <w:tcMar>
              <w:top w:w="108" w:type="dxa"/>
              <w:left w:w="144" w:type="dxa"/>
              <w:bottom w:w="108" w:type="dxa"/>
              <w:right w:w="144" w:type="dxa"/>
            </w:tcMar>
            <w:vAlign w:val="center"/>
          </w:tcPr>
          <w:p w14:paraId="6A7538B7">
            <w:pPr>
              <w:spacing w:before="60" w:after="60" w:line="240" w:lineRule="auto"/>
              <w:jc w:val="left"/>
            </w:pPr>
            <w:r>
              <w:rPr>
                <w:rFonts w:hint="eastAsia" w:ascii="微软雅黑" w:hAnsi="微软雅黑" w:eastAsia="微软雅黑"/>
                <w:b/>
                <w:color w:val="FFFFFF"/>
              </w:rPr>
              <w:t>占比</w:t>
            </w:r>
          </w:p>
        </w:tc>
        <w:tc>
          <w:tcPr>
            <w:tcW w:w="1701" w:type="dxa"/>
            <w:tcBorders>
              <w:top w:val="single" w:color="1F4E79" w:sz="6" w:space="0"/>
              <w:left w:val="single" w:color="1F4E79" w:sz="6" w:space="0"/>
              <w:bottom w:val="single" w:color="1F4E79" w:sz="6" w:space="0"/>
              <w:right w:val="single" w:color="1F4E79" w:sz="6" w:space="0"/>
            </w:tcBorders>
            <w:shd w:val="clear" w:color="auto" w:fill="1F4E79"/>
            <w:tcMar>
              <w:top w:w="108" w:type="dxa"/>
              <w:left w:w="144" w:type="dxa"/>
              <w:bottom w:w="108" w:type="dxa"/>
              <w:right w:w="144" w:type="dxa"/>
            </w:tcMar>
            <w:vAlign w:val="center"/>
          </w:tcPr>
          <w:p w14:paraId="404FBE9A">
            <w:pPr>
              <w:spacing w:before="60" w:after="60" w:line="240" w:lineRule="auto"/>
              <w:jc w:val="left"/>
            </w:pPr>
            <w:r>
              <w:rPr>
                <w:rFonts w:hint="eastAsia" w:ascii="微软雅黑" w:hAnsi="微软雅黑" w:eastAsia="微软雅黑"/>
                <w:b/>
                <w:color w:val="FFFFFF"/>
              </w:rPr>
              <w:t>组织方</w:t>
            </w:r>
          </w:p>
        </w:tc>
        <w:tc>
          <w:tcPr>
            <w:tcW w:w="1928" w:type="dxa"/>
            <w:tcBorders>
              <w:top w:val="single" w:color="1F4E79" w:sz="6" w:space="0"/>
              <w:left w:val="single" w:color="1F4E79" w:sz="6" w:space="0"/>
              <w:bottom w:val="single" w:color="1F4E79" w:sz="6" w:space="0"/>
              <w:right w:val="single" w:color="1F4E79" w:sz="6" w:space="0"/>
            </w:tcBorders>
            <w:shd w:val="clear" w:color="auto" w:fill="1F4E79"/>
            <w:tcMar>
              <w:top w:w="108" w:type="dxa"/>
              <w:left w:w="144" w:type="dxa"/>
              <w:bottom w:w="108" w:type="dxa"/>
              <w:right w:w="144" w:type="dxa"/>
            </w:tcMar>
            <w:vAlign w:val="center"/>
          </w:tcPr>
          <w:p w14:paraId="403E8524">
            <w:pPr>
              <w:spacing w:before="60" w:after="60" w:line="240" w:lineRule="auto"/>
              <w:jc w:val="left"/>
            </w:pPr>
            <w:r>
              <w:rPr>
                <w:rFonts w:hint="eastAsia" w:ascii="微软雅黑" w:hAnsi="微软雅黑" w:eastAsia="微软雅黑"/>
                <w:b/>
                <w:color w:val="FFFFFF"/>
              </w:rPr>
              <w:t>形式</w:t>
            </w:r>
          </w:p>
        </w:tc>
        <w:tc>
          <w:tcPr>
            <w:tcW w:w="1728" w:type="dxa"/>
            <w:tcBorders>
              <w:top w:val="single" w:color="1F4E79" w:sz="6" w:space="0"/>
              <w:left w:val="single" w:color="1F4E79" w:sz="6" w:space="0"/>
              <w:bottom w:val="single" w:color="1F4E79" w:sz="6" w:space="0"/>
              <w:right w:val="single" w:color="1F4E79" w:sz="6" w:space="0"/>
            </w:tcBorders>
            <w:shd w:val="clear" w:color="auto" w:fill="1F4E79"/>
            <w:tcMar>
              <w:top w:w="108" w:type="dxa"/>
              <w:left w:w="144" w:type="dxa"/>
              <w:bottom w:w="108" w:type="dxa"/>
              <w:right w:w="144" w:type="dxa"/>
            </w:tcMar>
            <w:vAlign w:val="center"/>
          </w:tcPr>
          <w:p w14:paraId="3560C237">
            <w:pPr>
              <w:spacing w:before="60" w:after="60" w:line="240" w:lineRule="auto"/>
              <w:jc w:val="left"/>
            </w:pPr>
            <w:r>
              <w:rPr>
                <w:rFonts w:hint="eastAsia" w:ascii="微软雅黑" w:hAnsi="微软雅黑" w:eastAsia="微软雅黑"/>
                <w:b/>
                <w:color w:val="FFFFFF"/>
              </w:rPr>
              <w:t>考核内容</w:t>
            </w:r>
          </w:p>
        </w:tc>
      </w:tr>
      <w:tr w14:paraId="7371C53F">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172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1E4C370D">
            <w:pPr>
              <w:spacing w:before="60" w:after="60" w:line="240" w:lineRule="auto"/>
            </w:pPr>
            <w:r>
              <w:t>初试</w:t>
            </w:r>
          </w:p>
        </w:tc>
        <w:tc>
          <w:tcPr>
            <w:tcW w:w="172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43FED8F4">
            <w:pPr>
              <w:spacing w:before="60" w:after="60" w:line="240" w:lineRule="auto"/>
            </w:pPr>
            <w:r>
              <w:t>60%</w:t>
            </w:r>
          </w:p>
        </w:tc>
        <w:tc>
          <w:tcPr>
            <w:tcW w:w="172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364946E8">
            <w:pPr>
              <w:spacing w:before="60" w:after="60" w:line="240" w:lineRule="auto"/>
            </w:pPr>
            <w:r>
              <w:t>教务处统一组织</w:t>
            </w:r>
          </w:p>
        </w:tc>
        <w:tc>
          <w:tcPr>
            <w:tcW w:w="172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0E9DFF50">
            <w:pPr>
              <w:spacing w:before="60" w:after="60" w:line="240" w:lineRule="auto"/>
            </w:pPr>
            <w:r>
              <w:t>笔试</w:t>
            </w:r>
          </w:p>
        </w:tc>
        <w:tc>
          <w:tcPr>
            <w:tcW w:w="172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77F66242">
            <w:pPr>
              <w:spacing w:before="60" w:after="60" w:line="240" w:lineRule="auto"/>
            </w:pPr>
            <w:r>
              <w:t>基本知识与能力</w:t>
            </w:r>
          </w:p>
        </w:tc>
      </w:tr>
      <w:tr w14:paraId="20513BA9">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1728"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11708081">
            <w:pPr>
              <w:spacing w:before="60" w:after="60" w:line="240" w:lineRule="auto"/>
            </w:pPr>
            <w:r>
              <w:t>复试</w:t>
            </w:r>
          </w:p>
        </w:tc>
        <w:tc>
          <w:tcPr>
            <w:tcW w:w="1728"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48059543">
            <w:pPr>
              <w:spacing w:before="60" w:after="60" w:line="240" w:lineRule="auto"/>
            </w:pPr>
            <w:r>
              <w:t>40%</w:t>
            </w:r>
          </w:p>
        </w:tc>
        <w:tc>
          <w:tcPr>
            <w:tcW w:w="1728"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4E9673E2">
            <w:pPr>
              <w:spacing w:before="60" w:after="60" w:line="240" w:lineRule="auto"/>
            </w:pPr>
            <w:r>
              <w:t>学院组织</w:t>
            </w:r>
          </w:p>
        </w:tc>
        <w:tc>
          <w:tcPr>
            <w:tcW w:w="1728"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2A19DBF4">
            <w:pPr>
              <w:spacing w:before="60" w:after="60" w:line="240" w:lineRule="auto"/>
            </w:pPr>
            <w:r>
              <w:t>面试，或笔试加面试</w:t>
            </w:r>
          </w:p>
        </w:tc>
        <w:tc>
          <w:tcPr>
            <w:tcW w:w="1728"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4942434F">
            <w:pPr>
              <w:spacing w:before="60" w:after="60" w:line="240" w:lineRule="auto"/>
            </w:pPr>
            <w:r>
              <w:t>综合素质与专业适应性</w:t>
            </w:r>
          </w:p>
        </w:tc>
      </w:tr>
      <w:tr w14:paraId="3BE72BC6">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172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7D06AF3B">
            <w:pPr>
              <w:spacing w:before="60" w:after="60" w:line="240" w:lineRule="auto"/>
            </w:pPr>
            <w:r>
              <w:t>总成绩</w:t>
            </w:r>
          </w:p>
        </w:tc>
        <w:tc>
          <w:tcPr>
            <w:tcW w:w="172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2CFC9AD9">
            <w:pPr>
              <w:spacing w:before="60" w:after="60" w:line="240" w:lineRule="auto"/>
            </w:pPr>
            <w:r>
              <w:t>100%</w:t>
            </w:r>
          </w:p>
        </w:tc>
        <w:tc>
          <w:tcPr>
            <w:tcW w:w="172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1772492C">
            <w:pPr>
              <w:spacing w:before="60" w:after="60" w:line="240" w:lineRule="auto"/>
            </w:pPr>
            <w:r>
              <w:t>—</w:t>
            </w:r>
          </w:p>
        </w:tc>
        <w:tc>
          <w:tcPr>
            <w:tcW w:w="172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5C23B5BC">
            <w:pPr>
              <w:spacing w:before="60" w:after="60" w:line="240" w:lineRule="auto"/>
            </w:pPr>
            <w:r>
              <w:t>百分制</w:t>
            </w:r>
          </w:p>
        </w:tc>
        <w:tc>
          <w:tcPr>
            <w:tcW w:w="172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58D399B8">
            <w:pPr>
              <w:spacing w:before="60" w:after="60" w:line="240" w:lineRule="auto"/>
            </w:pPr>
            <w:r>
              <w:t>初试×60%</w:t>
            </w:r>
            <w:r>
              <w:rPr>
                <w:rFonts w:hint="eastAsia"/>
                <w:lang w:val="en-US" w:eastAsia="zh-CN"/>
              </w:rPr>
              <w:t xml:space="preserve"> </w:t>
            </w:r>
            <w:r>
              <w:t>+</w:t>
            </w:r>
          </w:p>
          <w:p w14:paraId="5BF9916D">
            <w:pPr>
              <w:spacing w:before="60" w:after="60" w:line="240" w:lineRule="auto"/>
            </w:pPr>
            <w:r>
              <w:t>复试×40%</w:t>
            </w:r>
          </w:p>
        </w:tc>
      </w:tr>
    </w:tbl>
    <w:p w14:paraId="0FDD395D">
      <w:pPr>
        <w:pStyle w:val="5"/>
      </w:pPr>
      <w:r>
        <w:rPr>
          <w:rFonts w:hint="eastAsia" w:ascii="宋体" w:hAnsi="宋体" w:eastAsia="宋体" w:cs="宋体"/>
          <w:b/>
          <w:color w:val="17375E"/>
          <w:sz w:val="24"/>
          <w:lang w:eastAsia="zh-CN"/>
        </w:rPr>
        <w:t>（二）复试组织</w:t>
      </w:r>
    </w:p>
    <w:p w14:paraId="29EA893A">
      <w:pPr>
        <w:jc w:val="both"/>
      </w:pPr>
      <w:r>
        <w:rPr>
          <w:rFonts w:hint="eastAsia" w:ascii="宋体" w:hAnsi="宋体" w:eastAsia="宋体" w:cs="宋体"/>
          <w:lang w:eastAsia="zh-CN"/>
        </w:rPr>
        <w:t>学院复试考核小组由具有高级职称的教师组成，每组不少于</w:t>
      </w:r>
      <w:r>
        <w:t xml:space="preserve"> 5 </w:t>
      </w:r>
      <w:r>
        <w:rPr>
          <w:rFonts w:hint="eastAsia" w:ascii="宋体" w:hAnsi="宋体" w:eastAsia="宋体" w:cs="宋体"/>
          <w:lang w:eastAsia="zh-CN"/>
        </w:rPr>
        <w:t>人；纪检委员全程参与，复试全程录像。</w:t>
      </w:r>
    </w:p>
    <w:p w14:paraId="138EF601">
      <w:pPr>
        <w:pStyle w:val="5"/>
      </w:pPr>
      <w:r>
        <w:rPr>
          <w:rFonts w:hint="eastAsia" w:ascii="宋体" w:hAnsi="宋体" w:eastAsia="宋体" w:cs="宋体"/>
          <w:b/>
          <w:color w:val="17375E"/>
          <w:sz w:val="24"/>
          <w:lang w:eastAsia="zh-CN"/>
        </w:rPr>
        <w:t>（三）各专业考核科目</w:t>
      </w:r>
    </w:p>
    <w:p w14:paraId="71B766EF">
      <w:pPr>
        <w:jc w:val="both"/>
      </w:pPr>
      <w:r>
        <w:rPr>
          <w:rFonts w:hint="eastAsia" w:ascii="宋体" w:hAnsi="宋体" w:eastAsia="宋体" w:cs="宋体"/>
          <w:lang w:eastAsia="zh-CN"/>
        </w:rPr>
        <w:t>初试笔试科目按转入专业类别设置，各科目满分</w:t>
      </w:r>
      <w:r>
        <w:t xml:space="preserve"> 100 </w:t>
      </w:r>
      <w:r>
        <w:rPr>
          <w:rFonts w:hint="eastAsia" w:ascii="宋体" w:hAnsi="宋体" w:eastAsia="宋体" w:cs="宋体"/>
          <w:lang w:eastAsia="zh-CN"/>
        </w:rPr>
        <w:t>分，具体如下：</w:t>
      </w:r>
    </w:p>
    <w:tbl>
      <w:tblPr>
        <w:tblStyle w:val="32"/>
        <w:tblW w:w="5000" w:type="pct"/>
        <w:tblInd w:w="0" w:type="dxa"/>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Layout w:type="autofit"/>
        <w:tblCellMar>
          <w:top w:w="0" w:type="dxa"/>
          <w:left w:w="108" w:type="dxa"/>
          <w:bottom w:w="0" w:type="dxa"/>
          <w:right w:w="108" w:type="dxa"/>
        </w:tblCellMar>
      </w:tblPr>
      <w:tblGrid>
        <w:gridCol w:w="757"/>
        <w:gridCol w:w="2428"/>
        <w:gridCol w:w="3748"/>
        <w:gridCol w:w="2427"/>
      </w:tblGrid>
      <w:tr w14:paraId="19EA9F26">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PrEx>
        <w:tc>
          <w:tcPr>
            <w:tcW w:w="757" w:type="dxa"/>
            <w:tcBorders>
              <w:top w:val="single" w:color="1F4E79" w:sz="6" w:space="0"/>
              <w:left w:val="single" w:color="1F4E79" w:sz="6" w:space="0"/>
              <w:bottom w:val="single" w:color="1F4E79" w:sz="6" w:space="0"/>
              <w:right w:val="single" w:color="1F4E79" w:sz="6" w:space="0"/>
            </w:tcBorders>
            <w:shd w:val="clear" w:color="auto" w:fill="1F4E79"/>
            <w:tcMar>
              <w:top w:w="108" w:type="dxa"/>
              <w:left w:w="144" w:type="dxa"/>
              <w:bottom w:w="108" w:type="dxa"/>
              <w:right w:w="144" w:type="dxa"/>
            </w:tcMar>
            <w:vAlign w:val="center"/>
          </w:tcPr>
          <w:p w14:paraId="7AB701F1">
            <w:pPr>
              <w:spacing w:before="60" w:after="60" w:line="240" w:lineRule="auto"/>
              <w:jc w:val="left"/>
            </w:pPr>
            <w:r>
              <w:rPr>
                <w:rFonts w:hint="eastAsia" w:ascii="微软雅黑" w:hAnsi="微软雅黑" w:eastAsia="微软雅黑"/>
                <w:b/>
                <w:color w:val="FFFFFF"/>
              </w:rPr>
              <w:t>序号</w:t>
            </w:r>
          </w:p>
        </w:tc>
        <w:tc>
          <w:tcPr>
            <w:tcW w:w="2428" w:type="dxa"/>
            <w:tcBorders>
              <w:top w:val="single" w:color="1F4E79" w:sz="6" w:space="0"/>
              <w:left w:val="single" w:color="1F4E79" w:sz="6" w:space="0"/>
              <w:bottom w:val="single" w:color="1F4E79" w:sz="6" w:space="0"/>
              <w:right w:val="single" w:color="1F4E79" w:sz="6" w:space="0"/>
            </w:tcBorders>
            <w:shd w:val="clear" w:color="auto" w:fill="1F4E79"/>
            <w:tcMar>
              <w:top w:w="108" w:type="dxa"/>
              <w:left w:w="144" w:type="dxa"/>
              <w:bottom w:w="108" w:type="dxa"/>
              <w:right w:w="144" w:type="dxa"/>
            </w:tcMar>
            <w:vAlign w:val="center"/>
          </w:tcPr>
          <w:p w14:paraId="5D4960BB">
            <w:pPr>
              <w:spacing w:before="60" w:after="60" w:line="240" w:lineRule="auto"/>
              <w:jc w:val="left"/>
            </w:pPr>
            <w:r>
              <w:rPr>
                <w:rFonts w:hint="eastAsia" w:ascii="微软雅黑" w:hAnsi="微软雅黑" w:eastAsia="微软雅黑"/>
                <w:b/>
                <w:color w:val="FFFFFF"/>
              </w:rPr>
              <w:t>考核科目</w:t>
            </w:r>
          </w:p>
        </w:tc>
        <w:tc>
          <w:tcPr>
            <w:tcW w:w="3748" w:type="dxa"/>
            <w:tcBorders>
              <w:top w:val="single" w:color="1F4E79" w:sz="6" w:space="0"/>
              <w:left w:val="single" w:color="1F4E79" w:sz="6" w:space="0"/>
              <w:bottom w:val="single" w:color="1F4E79" w:sz="6" w:space="0"/>
              <w:right w:val="single" w:color="1F4E79" w:sz="6" w:space="0"/>
            </w:tcBorders>
            <w:shd w:val="clear" w:color="auto" w:fill="1F4E79"/>
            <w:tcMar>
              <w:top w:w="108" w:type="dxa"/>
              <w:left w:w="144" w:type="dxa"/>
              <w:bottom w:w="108" w:type="dxa"/>
              <w:right w:w="144" w:type="dxa"/>
            </w:tcMar>
            <w:vAlign w:val="center"/>
          </w:tcPr>
          <w:p w14:paraId="1C18A075">
            <w:pPr>
              <w:spacing w:before="60" w:after="60" w:line="240" w:lineRule="auto"/>
              <w:jc w:val="left"/>
            </w:pPr>
            <w:r>
              <w:rPr>
                <w:rFonts w:hint="eastAsia" w:ascii="微软雅黑" w:hAnsi="微软雅黑" w:eastAsia="微软雅黑"/>
                <w:b/>
                <w:color w:val="FFFFFF"/>
              </w:rPr>
              <w:t>适用转入专业</w:t>
            </w:r>
          </w:p>
        </w:tc>
        <w:tc>
          <w:tcPr>
            <w:tcW w:w="2427" w:type="dxa"/>
            <w:tcBorders>
              <w:top w:val="single" w:color="1F4E79" w:sz="6" w:space="0"/>
              <w:left w:val="single" w:color="1F4E79" w:sz="6" w:space="0"/>
              <w:bottom w:val="single" w:color="1F4E79" w:sz="6" w:space="0"/>
              <w:right w:val="single" w:color="1F4E79" w:sz="6" w:space="0"/>
            </w:tcBorders>
            <w:shd w:val="clear" w:color="auto" w:fill="1F4E79"/>
            <w:tcMar>
              <w:top w:w="108" w:type="dxa"/>
              <w:left w:w="144" w:type="dxa"/>
              <w:bottom w:w="108" w:type="dxa"/>
              <w:right w:w="144" w:type="dxa"/>
            </w:tcMar>
            <w:vAlign w:val="center"/>
          </w:tcPr>
          <w:p w14:paraId="1632DAC9">
            <w:pPr>
              <w:spacing w:before="60" w:after="60" w:line="240" w:lineRule="auto"/>
              <w:jc w:val="left"/>
            </w:pPr>
            <w:r>
              <w:rPr>
                <w:rFonts w:hint="eastAsia" w:ascii="微软雅黑" w:hAnsi="微软雅黑" w:eastAsia="微软雅黑"/>
                <w:b/>
                <w:color w:val="FFFFFF"/>
              </w:rPr>
              <w:t>考试内容</w:t>
            </w:r>
          </w:p>
        </w:tc>
      </w:tr>
      <w:tr w14:paraId="735983DB">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757"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5CC84DC9">
            <w:pPr>
              <w:spacing w:before="60" w:after="60" w:line="240" w:lineRule="auto"/>
            </w:pPr>
            <w:r>
              <w:t>1</w:t>
            </w:r>
          </w:p>
        </w:tc>
        <w:tc>
          <w:tcPr>
            <w:tcW w:w="242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1F4B3019">
            <w:pPr>
              <w:spacing w:before="60" w:after="60" w:line="240" w:lineRule="auto"/>
            </w:pPr>
            <w:r>
              <w:t>文科综合</w:t>
            </w:r>
          </w:p>
        </w:tc>
        <w:tc>
          <w:tcPr>
            <w:tcW w:w="374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13214F3A">
            <w:pPr>
              <w:spacing w:before="60" w:after="60" w:line="240" w:lineRule="auto"/>
            </w:pPr>
            <w:r>
              <w:t>文学院、社会发展学院、马克思主义学院、体育学院各专业；传播学、行政管理、学前教育、旅游管理、小学教育（语文方向）</w:t>
            </w:r>
          </w:p>
        </w:tc>
        <w:tc>
          <w:tcPr>
            <w:tcW w:w="2427"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4EB7C5FD">
            <w:pPr>
              <w:spacing w:before="60" w:after="60" w:line="240" w:lineRule="auto"/>
            </w:pPr>
            <w:r>
              <w:t>文学基础知识、写作</w:t>
            </w:r>
          </w:p>
        </w:tc>
      </w:tr>
      <w:tr w14:paraId="15F6EFA4">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757"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44BF75A5">
            <w:pPr>
              <w:spacing w:before="60" w:after="60" w:line="240" w:lineRule="auto"/>
            </w:pPr>
            <w:r>
              <w:t>2</w:t>
            </w:r>
          </w:p>
        </w:tc>
        <w:tc>
          <w:tcPr>
            <w:tcW w:w="2428"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0E0AC92F">
            <w:pPr>
              <w:spacing w:before="60" w:after="60" w:line="240" w:lineRule="auto"/>
            </w:pPr>
            <w:r>
              <w:t>法学基础</w:t>
            </w:r>
          </w:p>
        </w:tc>
        <w:tc>
          <w:tcPr>
            <w:tcW w:w="3748"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74FD08F0">
            <w:pPr>
              <w:spacing w:before="60" w:after="60" w:line="240" w:lineRule="auto"/>
            </w:pPr>
            <w:r>
              <w:t>法学专业</w:t>
            </w:r>
          </w:p>
        </w:tc>
        <w:tc>
          <w:tcPr>
            <w:tcW w:w="2427"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44D84448">
            <w:pPr>
              <w:spacing w:before="60" w:after="60" w:line="240" w:lineRule="auto"/>
            </w:pPr>
            <w:r>
              <w:t>法学基础知识（宪法、法理、民法、刑法）</w:t>
            </w:r>
          </w:p>
        </w:tc>
      </w:tr>
      <w:tr w14:paraId="32C56FBF">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757"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46140479">
            <w:pPr>
              <w:spacing w:before="60" w:after="60" w:line="240" w:lineRule="auto"/>
            </w:pPr>
            <w:r>
              <w:t>3</w:t>
            </w:r>
          </w:p>
        </w:tc>
        <w:tc>
          <w:tcPr>
            <w:tcW w:w="242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48895C91">
            <w:pPr>
              <w:spacing w:before="60" w:after="60" w:line="240" w:lineRule="auto"/>
            </w:pPr>
            <w:r>
              <w:t>综合英语</w:t>
            </w:r>
          </w:p>
        </w:tc>
        <w:tc>
          <w:tcPr>
            <w:tcW w:w="374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5BF4F1CF">
            <w:pPr>
              <w:spacing w:before="60" w:after="60" w:line="240" w:lineRule="auto"/>
            </w:pPr>
            <w:r>
              <w:t>外国语学院各专业</w:t>
            </w:r>
          </w:p>
        </w:tc>
        <w:tc>
          <w:tcPr>
            <w:tcW w:w="2427"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67A47AC2">
            <w:pPr>
              <w:spacing w:before="60" w:after="60" w:line="240" w:lineRule="auto"/>
            </w:pPr>
            <w:r>
              <w:t>阅读理解、翻译、写作</w:t>
            </w:r>
          </w:p>
        </w:tc>
      </w:tr>
      <w:tr w14:paraId="2B229519">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757"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40393337">
            <w:pPr>
              <w:spacing w:before="60" w:after="60" w:line="240" w:lineRule="auto"/>
            </w:pPr>
            <w:r>
              <w:t>4</w:t>
            </w:r>
          </w:p>
        </w:tc>
        <w:tc>
          <w:tcPr>
            <w:tcW w:w="2428"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03BA5130">
            <w:pPr>
              <w:spacing w:before="60" w:after="60" w:line="240" w:lineRule="auto"/>
            </w:pPr>
            <w:r>
              <w:t>高等数学（理工类）</w:t>
            </w:r>
          </w:p>
        </w:tc>
        <w:tc>
          <w:tcPr>
            <w:tcW w:w="3748"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0959FE8D">
            <w:pPr>
              <w:spacing w:before="60" w:after="60" w:line="240" w:lineRule="auto"/>
            </w:pPr>
            <w:r>
              <w:t>数学学院、物理科学与技术学院（集成电路学院）、机械工程学院、信息与人工智能学院（工业软件学院）、土木与交通学院（不含建筑学）、水利科学与工程学院、电气与能源动力工程学院、布拉德福德先进制造学院各专业；教育技术学专业</w:t>
            </w:r>
          </w:p>
        </w:tc>
        <w:tc>
          <w:tcPr>
            <w:tcW w:w="2427"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55341BB2">
            <w:pPr>
              <w:spacing w:before="60" w:after="60" w:line="240" w:lineRule="auto"/>
            </w:pPr>
            <w:r>
              <w:t>一元函数微分学、一元函数积分学</w:t>
            </w:r>
          </w:p>
        </w:tc>
      </w:tr>
      <w:tr w14:paraId="6F11A5C7">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757"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7A81500B">
            <w:pPr>
              <w:spacing w:before="60" w:after="60" w:line="240" w:lineRule="auto"/>
            </w:pPr>
            <w:r>
              <w:t>5</w:t>
            </w:r>
          </w:p>
        </w:tc>
        <w:tc>
          <w:tcPr>
            <w:tcW w:w="242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24E12FBF">
            <w:pPr>
              <w:spacing w:before="60" w:after="60" w:line="240" w:lineRule="auto"/>
            </w:pPr>
            <w:r>
              <w:t>高等数学（经济管理类）</w:t>
            </w:r>
          </w:p>
        </w:tc>
        <w:tc>
          <w:tcPr>
            <w:tcW w:w="374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4B9764F0">
            <w:pPr>
              <w:spacing w:before="60" w:after="60" w:line="240" w:lineRule="auto"/>
            </w:pPr>
            <w:r>
              <w:t>商学院各专业（不含行政管理）；应用心理学专业、小学教育（数学方向）专业</w:t>
            </w:r>
          </w:p>
        </w:tc>
        <w:tc>
          <w:tcPr>
            <w:tcW w:w="2427"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7936D455">
            <w:pPr>
              <w:spacing w:before="60" w:after="60" w:line="240" w:lineRule="auto"/>
            </w:pPr>
            <w:r>
              <w:t>一元函数微分学、不定积分</w:t>
            </w:r>
          </w:p>
        </w:tc>
      </w:tr>
      <w:tr w14:paraId="374B5B75">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757"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01E265D1">
            <w:pPr>
              <w:spacing w:before="60" w:after="60" w:line="240" w:lineRule="auto"/>
            </w:pPr>
            <w:r>
              <w:t>6</w:t>
            </w:r>
          </w:p>
        </w:tc>
        <w:tc>
          <w:tcPr>
            <w:tcW w:w="2428"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6DC13CF3">
            <w:pPr>
              <w:spacing w:before="60" w:after="60" w:line="240" w:lineRule="auto"/>
            </w:pPr>
            <w:r>
              <w:t>化学</w:t>
            </w:r>
          </w:p>
        </w:tc>
        <w:tc>
          <w:tcPr>
            <w:tcW w:w="3748"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4CCC2A75">
            <w:pPr>
              <w:spacing w:before="60" w:after="60" w:line="240" w:lineRule="auto"/>
            </w:pPr>
            <w:r>
              <w:t>化学与材料学院、环境科学与工程学院、食品科学与工程学院各专业；烹饪与营养教育专业</w:t>
            </w:r>
          </w:p>
        </w:tc>
        <w:tc>
          <w:tcPr>
            <w:tcW w:w="2427"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2C10DC22">
            <w:pPr>
              <w:spacing w:before="60" w:after="60" w:line="240" w:lineRule="auto"/>
            </w:pPr>
            <w:r>
              <w:t>化学基础知识</w:t>
            </w:r>
          </w:p>
        </w:tc>
      </w:tr>
      <w:tr w14:paraId="349F7016">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757"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66E9153D">
            <w:pPr>
              <w:spacing w:before="60" w:after="60" w:line="240" w:lineRule="auto"/>
            </w:pPr>
            <w:r>
              <w:t>7</w:t>
            </w:r>
          </w:p>
        </w:tc>
        <w:tc>
          <w:tcPr>
            <w:tcW w:w="242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6E2D6852">
            <w:pPr>
              <w:spacing w:before="60" w:after="60" w:line="240" w:lineRule="auto"/>
            </w:pPr>
            <w:r>
              <w:t>化学、生物综合</w:t>
            </w:r>
          </w:p>
        </w:tc>
        <w:tc>
          <w:tcPr>
            <w:tcW w:w="374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6199FBB3">
            <w:pPr>
              <w:spacing w:before="60" w:after="60" w:line="240" w:lineRule="auto"/>
            </w:pPr>
            <w:r>
              <w:t>农学院、园艺园林学院、植物保护学院、动物科学与技术学院、兽医学院、生物科学与技术学院、医学部各专业</w:t>
            </w:r>
          </w:p>
        </w:tc>
        <w:tc>
          <w:tcPr>
            <w:tcW w:w="2427"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0162FA91">
            <w:pPr>
              <w:spacing w:before="60" w:after="60" w:line="240" w:lineRule="auto"/>
            </w:pPr>
            <w:r>
              <w:t>化学、生物基础知识（各  50  分）</w:t>
            </w:r>
          </w:p>
        </w:tc>
      </w:tr>
      <w:tr w14:paraId="121AF70B">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757"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4379215C">
            <w:pPr>
              <w:spacing w:before="60" w:after="60" w:line="240" w:lineRule="auto"/>
            </w:pPr>
            <w:r>
              <w:t>8</w:t>
            </w:r>
          </w:p>
        </w:tc>
        <w:tc>
          <w:tcPr>
            <w:tcW w:w="2428"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701C322F">
            <w:pPr>
              <w:spacing w:before="60" w:after="60" w:line="240" w:lineRule="auto"/>
            </w:pPr>
            <w:r>
              <w:t>素描、色彩</w:t>
            </w:r>
          </w:p>
        </w:tc>
        <w:tc>
          <w:tcPr>
            <w:tcW w:w="3748"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1C1E91EE">
            <w:pPr>
              <w:spacing w:before="60" w:after="60" w:line="240" w:lineRule="auto"/>
            </w:pPr>
            <w:r>
              <w:t>美术学院各专业、数字媒体艺术专业</w:t>
            </w:r>
          </w:p>
        </w:tc>
        <w:tc>
          <w:tcPr>
            <w:tcW w:w="2427"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1543D6AA">
            <w:pPr>
              <w:spacing w:before="60" w:after="60" w:line="240" w:lineRule="auto"/>
            </w:pPr>
            <w:r>
              <w:t>素描、色彩（各  50  分）</w:t>
            </w:r>
          </w:p>
        </w:tc>
      </w:tr>
      <w:tr w14:paraId="4B44BAB6">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757"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402AEA07">
            <w:pPr>
              <w:spacing w:before="60" w:after="60" w:line="240" w:lineRule="auto"/>
            </w:pPr>
            <w:r>
              <w:t>9</w:t>
            </w:r>
          </w:p>
        </w:tc>
        <w:tc>
          <w:tcPr>
            <w:tcW w:w="242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15E66E31">
            <w:pPr>
              <w:spacing w:before="60" w:after="60" w:line="240" w:lineRule="auto"/>
            </w:pPr>
            <w:r>
              <w:t>素描</w:t>
            </w:r>
          </w:p>
        </w:tc>
        <w:tc>
          <w:tcPr>
            <w:tcW w:w="374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487467BA">
            <w:pPr>
              <w:spacing w:before="60" w:after="60" w:line="240" w:lineRule="auto"/>
            </w:pPr>
            <w:r>
              <w:t>建筑学专业</w:t>
            </w:r>
          </w:p>
        </w:tc>
        <w:tc>
          <w:tcPr>
            <w:tcW w:w="2427"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0CA5D951">
            <w:pPr>
              <w:spacing w:before="60" w:after="60" w:line="240" w:lineRule="auto"/>
            </w:pPr>
            <w:r>
              <w:t>素描</w:t>
            </w:r>
          </w:p>
        </w:tc>
      </w:tr>
      <w:tr w14:paraId="6E808F65">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757"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324A5FA2">
            <w:pPr>
              <w:spacing w:before="60" w:after="60" w:line="240" w:lineRule="auto"/>
            </w:pPr>
            <w:r>
              <w:t>10</w:t>
            </w:r>
          </w:p>
        </w:tc>
        <w:tc>
          <w:tcPr>
            <w:tcW w:w="2428"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45EF8033">
            <w:pPr>
              <w:spacing w:before="60" w:after="60" w:line="240" w:lineRule="auto"/>
            </w:pPr>
            <w:r>
              <w:t>声乐、钢琴</w:t>
            </w:r>
          </w:p>
        </w:tc>
        <w:tc>
          <w:tcPr>
            <w:tcW w:w="3748"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0DE1378A">
            <w:pPr>
              <w:spacing w:before="60" w:after="60" w:line="240" w:lineRule="auto"/>
            </w:pPr>
            <w:r>
              <w:t>音乐学专业</w:t>
            </w:r>
          </w:p>
        </w:tc>
        <w:tc>
          <w:tcPr>
            <w:tcW w:w="2427"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4A91A427">
            <w:pPr>
              <w:spacing w:before="60" w:after="60" w:line="240" w:lineRule="auto"/>
            </w:pPr>
            <w:r>
              <w:t>声乐、钢琴（各  50  分）</w:t>
            </w:r>
          </w:p>
        </w:tc>
      </w:tr>
      <w:tr w14:paraId="4A2136F4">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757"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2185BAEA">
            <w:pPr>
              <w:spacing w:before="60" w:after="60" w:line="240" w:lineRule="auto"/>
            </w:pPr>
            <w:r>
              <w:t>11</w:t>
            </w:r>
          </w:p>
        </w:tc>
        <w:tc>
          <w:tcPr>
            <w:tcW w:w="242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4542E365">
            <w:pPr>
              <w:spacing w:before="60" w:after="60" w:line="240" w:lineRule="auto"/>
            </w:pPr>
            <w:r>
              <w:t>自选专项</w:t>
            </w:r>
          </w:p>
        </w:tc>
        <w:tc>
          <w:tcPr>
            <w:tcW w:w="3748"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39CCAB8D">
            <w:pPr>
              <w:spacing w:before="60" w:after="60" w:line="240" w:lineRule="auto"/>
            </w:pPr>
            <w:r>
              <w:t>音乐表演专业</w:t>
            </w:r>
          </w:p>
        </w:tc>
        <w:tc>
          <w:tcPr>
            <w:tcW w:w="2427"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600BA43A">
            <w:pPr>
              <w:spacing w:before="60" w:after="60" w:line="240" w:lineRule="auto"/>
            </w:pPr>
            <w:r>
              <w:t>专项考核</w:t>
            </w:r>
          </w:p>
        </w:tc>
      </w:tr>
    </w:tbl>
    <w:p w14:paraId="68AD40B1"/>
    <w:p w14:paraId="2B697B65">
      <w:pPr>
        <w:pStyle w:val="4"/>
      </w:pPr>
      <w:r>
        <w:rPr>
          <w:rFonts w:hint="eastAsia" w:ascii="宋体" w:hAnsi="宋体" w:eastAsia="宋体" w:cs="宋体"/>
          <w:b/>
          <w:color w:val="1F4E79"/>
          <w:sz w:val="30"/>
          <w:lang w:eastAsia="zh-CN"/>
        </w:rPr>
        <w:t>五、录取规则</w:t>
      </w:r>
    </w:p>
    <w:p w14:paraId="20355DCD">
      <w:pPr>
        <w:pStyle w:val="5"/>
      </w:pPr>
      <w:r>
        <w:rPr>
          <w:rFonts w:hint="eastAsia" w:ascii="宋体" w:hAnsi="宋体" w:eastAsia="宋体" w:cs="宋体"/>
          <w:b/>
          <w:color w:val="17375E"/>
          <w:sz w:val="24"/>
          <w:lang w:eastAsia="zh-CN"/>
        </w:rPr>
        <w:t>（一）进入复试</w:t>
      </w:r>
    </w:p>
    <w:p w14:paraId="5F4C85DE">
      <w:pPr>
        <w:jc w:val="both"/>
      </w:pPr>
      <w:r>
        <w:rPr>
          <w:rFonts w:hint="eastAsia" w:ascii="宋体" w:hAnsi="宋体" w:eastAsia="宋体" w:cs="宋体"/>
          <w:lang w:eastAsia="zh-CN"/>
        </w:rPr>
        <w:t>初试成绩达到学校按考试科目划定的资格线的学生，按不超过该专业可接收转专业人数</w:t>
      </w:r>
      <w:r>
        <w:t xml:space="preserve"> 1:2 </w:t>
      </w:r>
      <w:r>
        <w:rPr>
          <w:rFonts w:hint="eastAsia" w:ascii="宋体" w:hAnsi="宋体" w:eastAsia="宋体" w:cs="宋体"/>
          <w:lang w:eastAsia="zh-CN"/>
        </w:rPr>
        <w:t>的比例进入复试。复试成绩达到</w:t>
      </w:r>
      <w:r>
        <w:t xml:space="preserve"> 60 </w:t>
      </w:r>
      <w:r>
        <w:rPr>
          <w:rFonts w:hint="eastAsia" w:ascii="宋体" w:hAnsi="宋体" w:eastAsia="宋体" w:cs="宋体"/>
          <w:lang w:eastAsia="zh-CN"/>
        </w:rPr>
        <w:t>分者，方可进入录取排序。</w:t>
      </w:r>
    </w:p>
    <w:p w14:paraId="609ADA68">
      <w:pPr>
        <w:pStyle w:val="5"/>
      </w:pPr>
      <w:r>
        <w:rPr>
          <w:rFonts w:hint="eastAsia" w:ascii="宋体" w:hAnsi="宋体" w:eastAsia="宋体" w:cs="宋体"/>
          <w:b/>
          <w:color w:val="17375E"/>
          <w:sz w:val="24"/>
          <w:lang w:eastAsia="zh-CN"/>
        </w:rPr>
        <w:t>（二）录取排序</w:t>
      </w:r>
    </w:p>
    <w:p w14:paraId="4CDB9444">
      <w:pPr>
        <w:jc w:val="both"/>
      </w:pPr>
      <w:r>
        <w:rPr>
          <w:rFonts w:hint="eastAsia" w:ascii="宋体" w:hAnsi="宋体" w:eastAsia="宋体" w:cs="宋体"/>
          <w:lang w:eastAsia="zh-CN"/>
        </w:rPr>
        <w:t>学校根据考核总成绩和各专业可接收人数，遵循</w:t>
      </w:r>
      <w:r>
        <w:rPr>
          <w:rFonts w:hint="eastAsia" w:ascii="宋体" w:hAnsi="宋体" w:eastAsia="宋体" w:cs="宋体"/>
          <w:b/>
          <w:lang w:eastAsia="zh-CN"/>
        </w:rPr>
        <w:t>志愿优先</w:t>
      </w:r>
      <w:r>
        <w:rPr>
          <w:rFonts w:hint="eastAsia" w:ascii="宋体" w:hAnsi="宋体" w:eastAsia="宋体" w:cs="宋体"/>
          <w:lang w:eastAsia="zh-CN"/>
        </w:rPr>
        <w:t>原则，从高分到低分择优录取，录满为止。</w:t>
      </w:r>
    </w:p>
    <w:p w14:paraId="75D12929">
      <w:pPr>
        <w:pStyle w:val="5"/>
      </w:pPr>
      <w:r>
        <w:rPr>
          <w:rFonts w:hint="eastAsia" w:ascii="宋体" w:hAnsi="宋体" w:eastAsia="宋体" w:cs="宋体"/>
          <w:b/>
          <w:color w:val="17375E"/>
          <w:sz w:val="24"/>
          <w:lang w:eastAsia="zh-CN"/>
        </w:rPr>
        <w:t>（三）调剂录取</w:t>
      </w:r>
    </w:p>
    <w:p w14:paraId="5A229FBE">
      <w:pPr>
        <w:jc w:val="both"/>
      </w:pPr>
      <w:r>
        <w:rPr>
          <w:rFonts w:hint="eastAsia" w:ascii="宋体" w:hAnsi="宋体" w:eastAsia="宋体" w:cs="宋体"/>
          <w:lang w:eastAsia="zh-CN"/>
        </w:rPr>
        <w:t>第一志愿未录满的专业，从填报该专业调剂志愿的学生中，按考核总成绩从高分到低分择优录取，录满为止。调剂仅在初试科目与复试要求一致的学院内专业间进行。</w:t>
      </w:r>
    </w:p>
    <w:p w14:paraId="7F3CD13C">
      <w:pPr>
        <w:pStyle w:val="4"/>
      </w:pPr>
      <w:r>
        <w:rPr>
          <w:rFonts w:hint="eastAsia" w:ascii="宋体" w:hAnsi="宋体" w:eastAsia="宋体" w:cs="宋体"/>
          <w:b/>
          <w:color w:val="1F4E79"/>
          <w:sz w:val="30"/>
          <w:lang w:eastAsia="zh-CN"/>
        </w:rPr>
        <w:t>六、学籍管理</w:t>
      </w:r>
    </w:p>
    <w:p w14:paraId="6ED52858">
      <w:pPr>
        <w:pStyle w:val="5"/>
      </w:pPr>
      <w:r>
        <w:rPr>
          <w:rFonts w:hint="eastAsia" w:ascii="宋体" w:hAnsi="宋体" w:eastAsia="宋体" w:cs="宋体"/>
          <w:b/>
          <w:color w:val="17375E"/>
          <w:sz w:val="24"/>
          <w:lang w:eastAsia="zh-CN"/>
        </w:rPr>
        <w:t>（一）学籍异动与培养</w:t>
      </w:r>
    </w:p>
    <w:p w14:paraId="68775F48">
      <w:pPr>
        <w:jc w:val="both"/>
      </w:pPr>
      <w:r>
        <w:rPr>
          <w:rFonts w:hint="eastAsia" w:ascii="宋体" w:hAnsi="宋体" w:eastAsia="宋体" w:cs="宋体"/>
          <w:lang w:eastAsia="zh-CN"/>
        </w:rPr>
        <w:t>获准转专业的学生，由教务处统一办理学籍异动手续，按转入专业培养方案修读；其毕业与学位申请资格，按转入专业培养方案审核。</w:t>
      </w:r>
    </w:p>
    <w:p w14:paraId="23849ED8">
      <w:pPr>
        <w:pStyle w:val="5"/>
      </w:pPr>
      <w:r>
        <w:rPr>
          <w:rFonts w:hint="eastAsia" w:ascii="宋体" w:hAnsi="宋体" w:eastAsia="宋体" w:cs="宋体"/>
          <w:b/>
          <w:color w:val="17375E"/>
          <w:sz w:val="24"/>
          <w:lang w:eastAsia="zh-CN"/>
        </w:rPr>
        <w:t>（二）年级衔接</w:t>
      </w:r>
    </w:p>
    <w:p w14:paraId="7419AD28">
      <w:pPr>
        <w:jc w:val="both"/>
      </w:pPr>
      <w:r>
        <w:rPr>
          <w:rFonts w:hint="eastAsia" w:ascii="宋体" w:hAnsi="宋体" w:eastAsia="宋体" w:cs="宋体"/>
          <w:lang w:eastAsia="zh-CN"/>
        </w:rPr>
        <w:t>一年级学生转入后，自转入专业相应年级就读；二年级学生获准转入的，原则上自转入专业一年级开始学习。</w:t>
      </w:r>
    </w:p>
    <w:p w14:paraId="2FB8C6D6">
      <w:pPr>
        <w:pStyle w:val="5"/>
      </w:pPr>
      <w:r>
        <w:rPr>
          <w:rFonts w:hint="eastAsia" w:ascii="宋体" w:hAnsi="宋体" w:eastAsia="宋体" w:cs="宋体"/>
          <w:b/>
          <w:color w:val="17375E"/>
          <w:sz w:val="24"/>
          <w:lang w:eastAsia="zh-CN"/>
        </w:rPr>
        <w:t>（三）不适应退回</w:t>
      </w:r>
    </w:p>
    <w:p w14:paraId="5E9134C0">
      <w:pPr>
        <w:spacing w:after="0"/>
        <w:jc w:val="both"/>
      </w:pPr>
      <w:r>
        <w:rPr>
          <w:rFonts w:hint="eastAsia" w:ascii="宋体" w:hAnsi="宋体" w:eastAsia="宋体" w:cs="宋体"/>
          <w:lang w:eastAsia="zh-CN"/>
        </w:rPr>
        <w:t>转专业后明显不能适应新专业学习的学生，可在转入新专业就读后一个月内提出申请，经教务处批准后，退回原专业学习。</w:t>
      </w:r>
    </w:p>
    <w:p w14:paraId="433D23BB">
      <w:pPr>
        <w:pStyle w:val="5"/>
      </w:pPr>
      <w:r>
        <w:rPr>
          <w:rFonts w:hint="eastAsia" w:ascii="宋体" w:hAnsi="宋体" w:eastAsia="宋体" w:cs="宋体"/>
          <w:b/>
          <w:color w:val="17375E"/>
          <w:sz w:val="24"/>
          <w:lang w:eastAsia="zh-CN"/>
        </w:rPr>
        <w:t>（四）未尽事宜</w:t>
      </w:r>
    </w:p>
    <w:p w14:paraId="0568C312">
      <w:pPr>
        <w:jc w:val="both"/>
      </w:pPr>
      <w:r>
        <w:rPr>
          <w:rFonts w:hint="eastAsia" w:ascii="宋体" w:hAnsi="宋体" w:eastAsia="宋体" w:cs="宋体"/>
          <w:lang w:eastAsia="zh-CN"/>
        </w:rPr>
        <w:t>转专业学生的学籍管理及其他未尽事宜，按《扬州大学本科学生学籍管理规定》《扬州大学本科生转专业实施办法（</w:t>
      </w:r>
      <w:r>
        <w:t xml:space="preserve">2025 </w:t>
      </w:r>
      <w:r>
        <w:rPr>
          <w:rFonts w:hint="eastAsia" w:ascii="宋体" w:hAnsi="宋体" w:eastAsia="宋体" w:cs="宋体"/>
          <w:lang w:eastAsia="zh-CN"/>
        </w:rPr>
        <w:t>年修订）》执行。</w:t>
      </w:r>
    </w:p>
    <w:p w14:paraId="371DEB26">
      <w:pPr>
        <w:pStyle w:val="4"/>
      </w:pPr>
      <w:r>
        <w:rPr>
          <w:rFonts w:hint="eastAsia" w:ascii="宋体" w:hAnsi="宋体" w:eastAsia="宋体" w:cs="宋体"/>
          <w:b/>
          <w:color w:val="1F4E79"/>
          <w:sz w:val="30"/>
          <w:lang w:eastAsia="zh-CN"/>
        </w:rPr>
        <w:t>七、日程安排</w:t>
      </w:r>
    </w:p>
    <w:tbl>
      <w:tblPr>
        <w:tblStyle w:val="32"/>
        <w:tblW w:w="5000" w:type="pct"/>
        <w:tblInd w:w="0" w:type="dxa"/>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Layout w:type="autofit"/>
        <w:tblCellMar>
          <w:top w:w="0" w:type="dxa"/>
          <w:left w:w="108" w:type="dxa"/>
          <w:bottom w:w="0" w:type="dxa"/>
          <w:right w:w="108" w:type="dxa"/>
        </w:tblCellMar>
      </w:tblPr>
      <w:tblGrid>
        <w:gridCol w:w="4680"/>
        <w:gridCol w:w="4680"/>
      </w:tblGrid>
      <w:tr w14:paraId="4D8566E6">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2494" w:type="dxa"/>
            <w:tcBorders>
              <w:top w:val="single" w:color="1F4E79" w:sz="6" w:space="0"/>
              <w:left w:val="single" w:color="1F4E79" w:sz="6" w:space="0"/>
              <w:bottom w:val="single" w:color="1F4E79" w:sz="6" w:space="0"/>
              <w:right w:val="single" w:color="1F4E79" w:sz="6" w:space="0"/>
            </w:tcBorders>
            <w:shd w:val="clear" w:color="auto" w:fill="1F4E79"/>
            <w:tcMar>
              <w:top w:w="108" w:type="dxa"/>
              <w:left w:w="144" w:type="dxa"/>
              <w:bottom w:w="108" w:type="dxa"/>
              <w:right w:w="144" w:type="dxa"/>
            </w:tcMar>
            <w:vAlign w:val="center"/>
          </w:tcPr>
          <w:p w14:paraId="5E66DFC9">
            <w:pPr>
              <w:spacing w:before="60" w:after="60" w:line="240" w:lineRule="auto"/>
              <w:jc w:val="left"/>
            </w:pPr>
            <w:r>
              <w:rPr>
                <w:rFonts w:hint="eastAsia" w:ascii="微软雅黑" w:hAnsi="微软雅黑" w:eastAsia="微软雅黑"/>
                <w:b/>
                <w:color w:val="FFFFFF"/>
              </w:rPr>
              <w:t>时间</w:t>
            </w:r>
          </w:p>
        </w:tc>
        <w:tc>
          <w:tcPr>
            <w:tcW w:w="4320" w:type="dxa"/>
            <w:tcBorders>
              <w:top w:val="single" w:color="1F4E79" w:sz="6" w:space="0"/>
              <w:left w:val="single" w:color="1F4E79" w:sz="6" w:space="0"/>
              <w:bottom w:val="single" w:color="1F4E79" w:sz="6" w:space="0"/>
              <w:right w:val="single" w:color="1F4E79" w:sz="6" w:space="0"/>
            </w:tcBorders>
            <w:shd w:val="clear" w:color="auto" w:fill="1F4E79"/>
            <w:tcMar>
              <w:top w:w="108" w:type="dxa"/>
              <w:left w:w="144" w:type="dxa"/>
              <w:bottom w:w="108" w:type="dxa"/>
              <w:right w:w="144" w:type="dxa"/>
            </w:tcMar>
            <w:vAlign w:val="center"/>
          </w:tcPr>
          <w:p w14:paraId="66DDDE71">
            <w:pPr>
              <w:spacing w:before="60" w:after="60" w:line="240" w:lineRule="auto"/>
              <w:jc w:val="left"/>
            </w:pPr>
            <w:r>
              <w:rPr>
                <w:rFonts w:hint="eastAsia" w:ascii="微软雅黑" w:hAnsi="微软雅黑" w:eastAsia="微软雅黑"/>
                <w:b/>
                <w:color w:val="FFFFFF"/>
              </w:rPr>
              <w:t>工作内容</w:t>
            </w:r>
          </w:p>
        </w:tc>
      </w:tr>
      <w:tr w14:paraId="0B53A4FA">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4320"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5533316B">
            <w:pPr>
              <w:spacing w:before="60" w:after="60" w:line="240" w:lineRule="auto"/>
            </w:pPr>
            <w:r>
              <w:t>12月4日—10日</w:t>
            </w:r>
          </w:p>
        </w:tc>
        <w:tc>
          <w:tcPr>
            <w:tcW w:w="4320"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5D184E8B">
            <w:pPr>
              <w:spacing w:before="60" w:after="60" w:line="240" w:lineRule="auto"/>
            </w:pPr>
            <w:r>
              <w:t>学院成立转专业工作小组，确定各专业可接收人数和复试方式，报教务处审核后公布</w:t>
            </w:r>
          </w:p>
        </w:tc>
      </w:tr>
      <w:tr w14:paraId="7FF524B1">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4320"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316354DF">
            <w:pPr>
              <w:spacing w:before="60" w:after="60" w:line="240" w:lineRule="auto"/>
            </w:pPr>
            <w:r>
              <w:t>12月15日—19日</w:t>
            </w:r>
          </w:p>
        </w:tc>
        <w:tc>
          <w:tcPr>
            <w:tcW w:w="4320"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5EC80906">
            <w:pPr>
              <w:spacing w:before="60" w:after="60" w:line="240" w:lineRule="auto"/>
            </w:pPr>
            <w:r>
              <w:t>学生在教务系统提交转专业申请（入口见附录  B ）</w:t>
            </w:r>
          </w:p>
        </w:tc>
      </w:tr>
      <w:tr w14:paraId="55FA2E33">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4320"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4D64D089">
            <w:pPr>
              <w:spacing w:before="60" w:after="60" w:line="240" w:lineRule="auto"/>
            </w:pPr>
            <w:r>
              <w:t>12月23日—29日</w:t>
            </w:r>
          </w:p>
        </w:tc>
        <w:tc>
          <w:tcPr>
            <w:tcW w:w="4320"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748B00D5">
            <w:pPr>
              <w:spacing w:before="60" w:after="60" w:line="240" w:lineRule="auto"/>
            </w:pPr>
            <w:r>
              <w:t>学院初审并报教务处复审；公示准予参加转专业考核的学生名单</w:t>
            </w:r>
          </w:p>
        </w:tc>
      </w:tr>
      <w:tr w14:paraId="79D436FD">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4320"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2C0C2416">
            <w:pPr>
              <w:spacing w:before="60" w:after="60" w:line="240" w:lineRule="auto"/>
            </w:pPr>
            <w:r>
              <w:t>12月31日—2026年1月9日</w:t>
            </w:r>
          </w:p>
        </w:tc>
        <w:tc>
          <w:tcPr>
            <w:tcW w:w="4320"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7EB416C6">
            <w:pPr>
              <w:spacing w:before="60" w:after="60" w:line="240" w:lineRule="auto"/>
            </w:pPr>
            <w:r>
              <w:t>学院上报复试时间、地点；教务处公布笔试、复试的时间与地点</w:t>
            </w:r>
          </w:p>
        </w:tc>
      </w:tr>
      <w:tr w14:paraId="5913B5DC">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4320"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0171B636">
            <w:pPr>
              <w:spacing w:before="60" w:after="60" w:line="240" w:lineRule="auto"/>
            </w:pPr>
            <w:r>
              <w:t>2026年1月9日—18日</w:t>
            </w:r>
          </w:p>
        </w:tc>
        <w:tc>
          <w:tcPr>
            <w:tcW w:w="4320"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227D0572">
            <w:pPr>
              <w:spacing w:before="60" w:after="60" w:line="240" w:lineRule="auto"/>
            </w:pPr>
            <w:r>
              <w:t>考生网上自行打印准考证</w:t>
            </w:r>
          </w:p>
        </w:tc>
      </w:tr>
      <w:tr w14:paraId="0B9801FF">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4320"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357DA25F">
            <w:pPr>
              <w:spacing w:before="60" w:after="60" w:line="240" w:lineRule="auto"/>
            </w:pPr>
            <w:r>
              <w:t>2026年1月18日上午</w:t>
            </w:r>
          </w:p>
        </w:tc>
        <w:tc>
          <w:tcPr>
            <w:tcW w:w="4320" w:type="dxa"/>
            <w:tcBorders>
              <w:top w:val="single" w:color="D9DFE7" w:sz="6" w:space="0"/>
              <w:left w:val="single" w:color="D9DFE7" w:sz="6" w:space="0"/>
              <w:bottom w:val="single" w:color="D9DFE7" w:sz="6" w:space="0"/>
              <w:right w:val="single" w:color="D9DFE7" w:sz="6" w:space="0"/>
            </w:tcBorders>
            <w:shd w:val="clear" w:color="auto" w:fill="F2F5F8"/>
            <w:tcMar>
              <w:top w:w="108" w:type="dxa"/>
              <w:left w:w="144" w:type="dxa"/>
              <w:bottom w:w="108" w:type="dxa"/>
              <w:right w:w="144" w:type="dxa"/>
            </w:tcMar>
            <w:vAlign w:val="center"/>
          </w:tcPr>
          <w:p w14:paraId="6853B843">
            <w:pPr>
              <w:spacing w:before="60" w:after="60" w:line="240" w:lineRule="auto"/>
            </w:pPr>
            <w:r>
              <w:t>笔试（具体地点以准考证为准）</w:t>
            </w:r>
          </w:p>
        </w:tc>
      </w:tr>
      <w:tr w14:paraId="7A6E2526">
        <w:tblPrEx>
          <w:tblBorders>
            <w:top w:val="single" w:color="B9C4D0" w:sz="6" w:space="0"/>
            <w:left w:val="single" w:color="B9C4D0" w:sz="6" w:space="0"/>
            <w:bottom w:val="single" w:color="B9C4D0" w:sz="6" w:space="0"/>
            <w:right w:val="single" w:color="B9C4D0" w:sz="6" w:space="0"/>
            <w:insideH w:val="single" w:color="B9C4D0" w:sz="6" w:space="0"/>
            <w:insideV w:val="single" w:color="B9C4D0" w:sz="6" w:space="0"/>
          </w:tblBorders>
          <w:tblCellMar>
            <w:top w:w="0" w:type="dxa"/>
            <w:left w:w="108" w:type="dxa"/>
            <w:bottom w:w="0" w:type="dxa"/>
            <w:right w:w="108" w:type="dxa"/>
          </w:tblCellMar>
        </w:tblPrEx>
        <w:tc>
          <w:tcPr>
            <w:tcW w:w="4320"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5A10F7AC">
            <w:pPr>
              <w:spacing w:before="60" w:after="60" w:line="240" w:lineRule="auto"/>
            </w:pPr>
            <w:r>
              <w:t>寒假第一周内</w:t>
            </w:r>
          </w:p>
        </w:tc>
        <w:tc>
          <w:tcPr>
            <w:tcW w:w="4320" w:type="dxa"/>
            <w:tcBorders>
              <w:top w:val="single" w:color="D9DFE7" w:sz="6" w:space="0"/>
              <w:left w:val="single" w:color="D9DFE7" w:sz="6" w:space="0"/>
              <w:bottom w:val="single" w:color="D9DFE7" w:sz="6" w:space="0"/>
              <w:right w:val="single" w:color="D9DFE7" w:sz="6" w:space="0"/>
            </w:tcBorders>
            <w:tcMar>
              <w:top w:w="108" w:type="dxa"/>
              <w:left w:w="144" w:type="dxa"/>
              <w:bottom w:w="108" w:type="dxa"/>
              <w:right w:w="144" w:type="dxa"/>
            </w:tcMar>
            <w:vAlign w:val="center"/>
          </w:tcPr>
          <w:p w14:paraId="7D640C67">
            <w:pPr>
              <w:spacing w:before="60" w:after="60" w:line="240" w:lineRule="auto"/>
            </w:pPr>
            <w:r>
              <w:t>公布进入复试学生名单；学院组织复试；公示拟转专业学生名单</w:t>
            </w:r>
          </w:p>
        </w:tc>
      </w:tr>
    </w:tbl>
    <w:p w14:paraId="4F2601D3">
      <w:pPr>
        <w:rPr>
          <w:rFonts w:hint="eastAsia" w:eastAsia="宋体"/>
          <w:lang w:eastAsia="zh-CN"/>
        </w:rPr>
      </w:pPr>
      <w:r>
        <w:rPr>
          <w:rFonts w:hint="eastAsia"/>
          <w:lang w:eastAsia="zh-CN"/>
        </w:rPr>
        <w:t>（</w:t>
      </w:r>
      <w:r>
        <w:rPr>
          <w:rFonts w:hint="eastAsia"/>
          <w:lang w:val="en-US" w:eastAsia="zh-CN"/>
        </w:rPr>
        <w:t>以上时间节点为2025届转专业考试，2026届只需参考其重要节点，预计2026年笔试时间为2027年1月12日，面试时间为2027年1月15日</w:t>
      </w:r>
      <w:r>
        <w:rPr>
          <w:rFonts w:hint="eastAsia"/>
          <w:lang w:eastAsia="zh-CN"/>
        </w:rPr>
        <w:t>）</w:t>
      </w:r>
    </w:p>
    <w:p w14:paraId="26A4FCBA">
      <w:pPr>
        <w:spacing w:after="72"/>
        <w:jc w:val="both"/>
      </w:pPr>
      <w:r>
        <w:rPr>
          <w:rFonts w:hint="eastAsia" w:ascii="宋体" w:hAnsi="宋体" w:eastAsia="宋体" w:cs="宋体"/>
          <w:b/>
          <w:color w:val="1F4E79"/>
          <w:lang w:eastAsia="zh-CN"/>
        </w:rPr>
        <w:t>时间提示</w:t>
      </w:r>
    </w:p>
    <w:p w14:paraId="21B99F82">
      <w:pPr>
        <w:pStyle w:val="14"/>
        <w:numPr>
          <w:ilvl w:val="0"/>
          <w:numId w:val="7"/>
        </w:numPr>
        <w:spacing w:after="36" w:line="372" w:lineRule="auto"/>
      </w:pPr>
      <w:r>
        <w:rPr>
          <w:rFonts w:hint="eastAsia" w:ascii="宋体" w:hAnsi="宋体" w:eastAsia="宋体" w:cs="宋体"/>
          <w:lang w:eastAsia="zh-CN"/>
        </w:rPr>
        <w:t>网上报名共</w:t>
      </w:r>
      <w:r>
        <w:t>5</w:t>
      </w:r>
      <w:r>
        <w:rPr>
          <w:rFonts w:hint="eastAsia" w:ascii="宋体" w:hAnsi="宋体" w:eastAsia="宋体" w:cs="宋体"/>
          <w:lang w:eastAsia="zh-CN"/>
        </w:rPr>
        <w:t>天（</w:t>
      </w:r>
      <w:r>
        <w:t>12</w:t>
      </w:r>
      <w:r>
        <w:rPr>
          <w:rFonts w:hint="eastAsia" w:ascii="宋体" w:hAnsi="宋体" w:eastAsia="宋体" w:cs="宋体"/>
          <w:lang w:eastAsia="zh-CN"/>
        </w:rPr>
        <w:t>月</w:t>
      </w:r>
      <w:r>
        <w:t>15</w:t>
      </w:r>
      <w:r>
        <w:rPr>
          <w:rFonts w:hint="eastAsia" w:ascii="宋体" w:hAnsi="宋体" w:eastAsia="宋体" w:cs="宋体"/>
          <w:lang w:eastAsia="zh-CN"/>
        </w:rPr>
        <w:t>日</w:t>
      </w:r>
      <w:r>
        <w:t xml:space="preserve">—19 </w:t>
      </w:r>
      <w:r>
        <w:rPr>
          <w:rFonts w:hint="eastAsia" w:ascii="宋体" w:hAnsi="宋体" w:eastAsia="宋体" w:cs="宋体"/>
          <w:lang w:eastAsia="zh-CN"/>
        </w:rPr>
        <w:t>日），逾期不予受理；</w:t>
      </w:r>
    </w:p>
    <w:p w14:paraId="734C88ED">
      <w:pPr>
        <w:pStyle w:val="14"/>
        <w:numPr>
          <w:ilvl w:val="0"/>
          <w:numId w:val="7"/>
        </w:numPr>
        <w:spacing w:after="36" w:line="372" w:lineRule="auto"/>
      </w:pPr>
      <w:r>
        <w:rPr>
          <w:rFonts w:hint="eastAsia" w:ascii="宋体" w:hAnsi="宋体" w:eastAsia="宋体" w:cs="宋体"/>
          <w:lang w:eastAsia="zh-CN"/>
        </w:rPr>
        <w:t>笔试安排在寒假期间（</w:t>
      </w:r>
      <w:r>
        <w:t>2026</w:t>
      </w:r>
      <w:r>
        <w:rPr>
          <w:rFonts w:hint="eastAsia" w:ascii="宋体" w:hAnsi="宋体" w:eastAsia="宋体" w:cs="宋体"/>
          <w:lang w:eastAsia="zh-CN"/>
        </w:rPr>
        <w:t>年</w:t>
      </w:r>
      <w:r>
        <w:t>1</w:t>
      </w:r>
      <w:r>
        <w:rPr>
          <w:rFonts w:hint="eastAsia" w:ascii="宋体" w:hAnsi="宋体" w:eastAsia="宋体" w:cs="宋体"/>
          <w:lang w:eastAsia="zh-CN"/>
        </w:rPr>
        <w:t>月</w:t>
      </w:r>
      <w:r>
        <w:t>18</w:t>
      </w:r>
      <w:r>
        <w:rPr>
          <w:rFonts w:hint="eastAsia" w:ascii="宋体" w:hAnsi="宋体" w:eastAsia="宋体" w:cs="宋体"/>
          <w:lang w:eastAsia="zh-CN"/>
        </w:rPr>
        <w:t>日上午），考点与往返安排需提前确认；</w:t>
      </w:r>
    </w:p>
    <w:p w14:paraId="04D5BACA">
      <w:pPr>
        <w:pStyle w:val="14"/>
        <w:numPr>
          <w:ilvl w:val="0"/>
          <w:numId w:val="7"/>
        </w:numPr>
        <w:spacing w:after="36" w:line="372" w:lineRule="auto"/>
      </w:pPr>
      <w:r>
        <w:rPr>
          <w:rFonts w:hint="eastAsia" w:ascii="宋体" w:hAnsi="宋体" w:eastAsia="宋体" w:cs="宋体"/>
          <w:lang w:eastAsia="zh-CN"/>
        </w:rPr>
        <w:t>准考证由考生自行网上打印，须在</w:t>
      </w:r>
      <w:r>
        <w:t xml:space="preserve"> 1</w:t>
      </w:r>
      <w:r>
        <w:rPr>
          <w:rFonts w:hint="eastAsia" w:ascii="宋体" w:hAnsi="宋体" w:eastAsia="宋体" w:cs="宋体"/>
          <w:lang w:eastAsia="zh-CN"/>
        </w:rPr>
        <w:t>月</w:t>
      </w:r>
      <w:r>
        <w:t>9</w:t>
      </w:r>
      <w:r>
        <w:rPr>
          <w:rFonts w:hint="eastAsia" w:ascii="宋体" w:hAnsi="宋体" w:eastAsia="宋体" w:cs="宋体"/>
          <w:lang w:eastAsia="zh-CN"/>
        </w:rPr>
        <w:t>日</w:t>
      </w:r>
      <w:r>
        <w:t>—18</w:t>
      </w:r>
      <w:r>
        <w:rPr>
          <w:rFonts w:hint="eastAsia" w:ascii="宋体" w:hAnsi="宋体" w:eastAsia="宋体" w:cs="宋体"/>
          <w:lang w:eastAsia="zh-CN"/>
        </w:rPr>
        <w:t>日期间完成。</w:t>
      </w:r>
    </w:p>
    <w:p w14:paraId="0A55BFFF">
      <w:pPr>
        <w:pStyle w:val="4"/>
      </w:pPr>
      <w:r>
        <w:rPr>
          <w:rFonts w:hint="eastAsia" w:ascii="宋体" w:hAnsi="宋体" w:eastAsia="宋体" w:cs="宋体"/>
          <w:b/>
          <w:color w:val="1F4E79"/>
          <w:sz w:val="30"/>
          <w:lang w:eastAsia="zh-CN"/>
        </w:rPr>
        <w:t>八、常见问题</w:t>
      </w:r>
    </w:p>
    <w:p w14:paraId="1AD4BF12">
      <w:pPr>
        <w:spacing w:after="36"/>
        <w:jc w:val="both"/>
      </w:pPr>
      <w:r>
        <w:rPr>
          <w:rFonts w:ascii="微软雅黑" w:hAnsi="微软雅黑"/>
          <w:b/>
          <w:color w:val="17375E"/>
        </w:rPr>
        <w:t xml:space="preserve">1. </w:t>
      </w:r>
      <w:r>
        <w:rPr>
          <w:rFonts w:hint="eastAsia" w:ascii="宋体" w:hAnsi="宋体" w:eastAsia="宋体" w:cs="宋体"/>
          <w:b/>
          <w:color w:val="17375E"/>
          <w:lang w:eastAsia="zh-CN"/>
        </w:rPr>
        <w:t>转专业是否有人数限制？</w:t>
      </w:r>
    </w:p>
    <w:p w14:paraId="69EFDEA5">
      <w:pPr>
        <w:spacing w:before="0" w:after="0"/>
        <w:jc w:val="both"/>
      </w:pPr>
      <w:r>
        <w:rPr>
          <w:rFonts w:hint="eastAsia" w:ascii="宋体" w:hAnsi="宋体" w:eastAsia="宋体" w:cs="宋体"/>
          <w:b/>
          <w:color w:val="1F4E79"/>
          <w:lang w:eastAsia="zh-CN"/>
        </w:rPr>
        <w:t>有。各专业公布可接收转入人数，实际录取不超过公布名额；申请人数超过名额时，按考核总成绩择优录取。</w:t>
      </w:r>
    </w:p>
    <w:p w14:paraId="26331E5D">
      <w:pPr>
        <w:spacing w:after="36"/>
        <w:jc w:val="both"/>
      </w:pPr>
      <w:r>
        <w:rPr>
          <w:rFonts w:ascii="微软雅黑" w:hAnsi="微软雅黑"/>
          <w:b/>
          <w:color w:val="17375E"/>
        </w:rPr>
        <w:t xml:space="preserve">2. </w:t>
      </w:r>
      <w:r>
        <w:rPr>
          <w:rFonts w:hint="eastAsia" w:ascii="宋体" w:hAnsi="宋体" w:eastAsia="宋体" w:cs="宋体"/>
          <w:b/>
          <w:color w:val="17375E"/>
          <w:lang w:eastAsia="zh-CN"/>
        </w:rPr>
        <w:t>哪些情形不能申请？</w:t>
      </w:r>
    </w:p>
    <w:p w14:paraId="02267DAB">
      <w:pPr>
        <w:spacing w:before="0" w:after="0"/>
        <w:jc w:val="both"/>
      </w:pPr>
      <w:r>
        <w:rPr>
          <w:rFonts w:hint="eastAsia" w:ascii="宋体" w:hAnsi="宋体" w:eastAsia="宋体" w:cs="宋体"/>
          <w:b/>
          <w:color w:val="1F4E79"/>
          <w:lang w:eastAsia="zh-CN"/>
        </w:rPr>
        <w:t>主要两类：一是有违规、违纪记录或身体条件不符合转入专业体检要求；二是招生形式限制，如体育、艺术、对口单招、中外合作办学及有约定的特殊招生形式（详见第二部分）。</w:t>
      </w:r>
    </w:p>
    <w:p w14:paraId="6DFAC419">
      <w:pPr>
        <w:spacing w:after="36"/>
        <w:jc w:val="both"/>
      </w:pPr>
      <w:r>
        <w:rPr>
          <w:rFonts w:ascii="微软雅黑" w:hAnsi="微软雅黑"/>
          <w:b/>
          <w:color w:val="17375E"/>
        </w:rPr>
        <w:t xml:space="preserve">3. </w:t>
      </w:r>
      <w:r>
        <w:rPr>
          <w:rFonts w:hint="eastAsia" w:ascii="宋体" w:hAnsi="宋体" w:eastAsia="宋体" w:cs="宋体"/>
          <w:b/>
          <w:color w:val="17375E"/>
          <w:lang w:eastAsia="zh-CN"/>
        </w:rPr>
        <w:t>大二学生转专业后从哪个年级读起？</w:t>
      </w:r>
    </w:p>
    <w:p w14:paraId="23DB79C6">
      <w:pPr>
        <w:spacing w:before="0" w:after="0"/>
        <w:jc w:val="both"/>
      </w:pPr>
      <w:r>
        <w:rPr>
          <w:rFonts w:hint="eastAsia" w:ascii="宋体" w:hAnsi="宋体" w:eastAsia="宋体" w:cs="宋体"/>
          <w:b/>
          <w:color w:val="1F4E79"/>
          <w:lang w:eastAsia="zh-CN"/>
        </w:rPr>
        <w:t>二年级学生获准转入后，原则上自转入专业一年级开始学习。</w:t>
      </w:r>
    </w:p>
    <w:p w14:paraId="3A872CC0">
      <w:pPr>
        <w:spacing w:after="36"/>
        <w:jc w:val="both"/>
      </w:pPr>
      <w:r>
        <w:rPr>
          <w:rFonts w:ascii="微软雅黑" w:hAnsi="微软雅黑"/>
          <w:b/>
          <w:color w:val="17375E"/>
        </w:rPr>
        <w:t xml:space="preserve">4. </w:t>
      </w:r>
      <w:r>
        <w:rPr>
          <w:rFonts w:hint="eastAsia" w:ascii="宋体" w:hAnsi="宋体" w:eastAsia="宋体" w:cs="宋体"/>
          <w:b/>
          <w:color w:val="17375E"/>
          <w:lang w:eastAsia="zh-CN"/>
        </w:rPr>
        <w:t>转入新专业后不适应怎么办？</w:t>
      </w:r>
    </w:p>
    <w:p w14:paraId="111C347A">
      <w:pPr>
        <w:spacing w:before="0" w:after="0"/>
        <w:jc w:val="both"/>
      </w:pPr>
      <w:r>
        <w:rPr>
          <w:rFonts w:hint="eastAsia" w:ascii="宋体" w:hAnsi="宋体" w:eastAsia="宋体" w:cs="宋体"/>
          <w:b/>
          <w:color w:val="1F4E79"/>
          <w:lang w:eastAsia="zh-CN"/>
        </w:rPr>
        <w:t>可在转入新专业就读后一个月内提出申请，经教务处批准后退回原专业学习。</w:t>
      </w:r>
    </w:p>
    <w:p w14:paraId="433846D8">
      <w:pPr>
        <w:spacing w:after="36"/>
        <w:jc w:val="both"/>
      </w:pPr>
      <w:r>
        <w:rPr>
          <w:rFonts w:ascii="微软雅黑" w:hAnsi="微软雅黑"/>
          <w:b/>
          <w:color w:val="17375E"/>
        </w:rPr>
        <w:t xml:space="preserve">5. </w:t>
      </w:r>
      <w:r>
        <w:rPr>
          <w:rFonts w:hint="eastAsia" w:ascii="宋体" w:hAnsi="宋体" w:eastAsia="宋体" w:cs="宋体"/>
          <w:b/>
          <w:color w:val="17375E"/>
          <w:lang w:eastAsia="zh-CN"/>
        </w:rPr>
        <w:t>调剂志愿如何录取？</w:t>
      </w:r>
    </w:p>
    <w:p w14:paraId="035FD5E3">
      <w:pPr>
        <w:spacing w:before="0" w:after="0"/>
        <w:jc w:val="both"/>
      </w:pPr>
      <w:r>
        <w:rPr>
          <w:rFonts w:hint="eastAsia" w:ascii="宋体" w:hAnsi="宋体" w:eastAsia="宋体" w:cs="宋体"/>
          <w:b/>
          <w:color w:val="1F4E79"/>
          <w:lang w:eastAsia="zh-CN"/>
        </w:rPr>
        <w:t>第一志愿未录满时，从填报该专业调剂志愿的学生中按总成绩从高分到低分录取；调剂限于同学院内初试科目与复试要求一致的专业。</w:t>
      </w:r>
    </w:p>
    <w:p w14:paraId="615EDFCD">
      <w:pPr>
        <w:spacing w:after="36"/>
        <w:jc w:val="both"/>
      </w:pPr>
      <w:r>
        <w:rPr>
          <w:rFonts w:ascii="微软雅黑" w:hAnsi="微软雅黑"/>
          <w:b/>
          <w:color w:val="17375E"/>
        </w:rPr>
        <w:t xml:space="preserve">6. </w:t>
      </w:r>
      <w:r>
        <w:rPr>
          <w:rFonts w:hint="eastAsia" w:ascii="宋体" w:hAnsi="宋体" w:eastAsia="宋体" w:cs="宋体"/>
          <w:b/>
          <w:color w:val="17375E"/>
          <w:lang w:eastAsia="zh-CN"/>
        </w:rPr>
        <w:t>何时公布录取结果？</w:t>
      </w:r>
    </w:p>
    <w:p w14:paraId="7ACF39F0">
      <w:pPr>
        <w:spacing w:before="0" w:after="0"/>
        <w:jc w:val="both"/>
      </w:pPr>
      <w:r>
        <w:rPr>
          <w:rFonts w:hint="eastAsia" w:ascii="宋体" w:hAnsi="宋体" w:eastAsia="宋体" w:cs="宋体"/>
          <w:b/>
          <w:color w:val="1F4E79"/>
          <w:lang w:eastAsia="zh-CN"/>
        </w:rPr>
        <w:t>寒假第一周内，学院组织复试并公示拟转专业学生名单。</w:t>
      </w:r>
    </w:p>
    <w:p w14:paraId="7AB43FAB">
      <w:pPr>
        <w:spacing w:after="36"/>
        <w:jc w:val="both"/>
      </w:pPr>
      <w:r>
        <w:rPr>
          <w:rFonts w:ascii="微软雅黑" w:hAnsi="微软雅黑"/>
          <w:b/>
          <w:color w:val="17375E"/>
        </w:rPr>
        <w:t xml:space="preserve">7. </w:t>
      </w:r>
      <w:r>
        <w:rPr>
          <w:rFonts w:hint="eastAsia" w:ascii="宋体" w:hAnsi="宋体" w:eastAsia="宋体" w:cs="宋体"/>
          <w:b/>
          <w:color w:val="17375E"/>
          <w:lang w:eastAsia="zh-CN"/>
        </w:rPr>
        <w:t>转专业后能否再次申请？</w:t>
      </w:r>
    </w:p>
    <w:p w14:paraId="0DEC92BD">
      <w:pPr>
        <w:spacing w:before="0" w:after="0"/>
        <w:jc w:val="both"/>
      </w:pPr>
      <w:r>
        <w:rPr>
          <w:rFonts w:hint="eastAsia" w:ascii="宋体" w:hAnsi="宋体" w:eastAsia="宋体" w:cs="宋体"/>
          <w:b/>
          <w:color w:val="1F4E79"/>
          <w:lang w:eastAsia="zh-CN"/>
        </w:rPr>
        <w:t>原则上不再受理再次转专业申请，具体以转专业办法为准。</w:t>
      </w:r>
    </w:p>
    <w:p w14:paraId="2F07B697">
      <w:pPr>
        <w:spacing w:after="36"/>
        <w:jc w:val="both"/>
      </w:pPr>
      <w:r>
        <w:rPr>
          <w:rFonts w:ascii="微软雅黑" w:hAnsi="微软雅黑"/>
          <w:b/>
          <w:color w:val="17375E"/>
        </w:rPr>
        <w:t xml:space="preserve">8. </w:t>
      </w:r>
      <w:r>
        <w:rPr>
          <w:rFonts w:hint="eastAsia" w:ascii="宋体" w:hAnsi="宋体" w:eastAsia="宋体" w:cs="宋体"/>
          <w:b/>
          <w:color w:val="17375E"/>
          <w:lang w:eastAsia="zh-CN"/>
        </w:rPr>
        <w:t>申请决定由谁作出？</w:t>
      </w:r>
    </w:p>
    <w:p w14:paraId="4F6DEABD">
      <w:pPr>
        <w:spacing w:before="0" w:after="0"/>
        <w:jc w:val="both"/>
      </w:pPr>
      <w:r>
        <w:rPr>
          <w:rFonts w:hint="eastAsia" w:ascii="宋体" w:hAnsi="宋体" w:eastAsia="宋体" w:cs="宋体"/>
          <w:b/>
          <w:color w:val="1F4E79"/>
          <w:lang w:eastAsia="zh-CN"/>
        </w:rPr>
        <w:t>转专业遵循学生自愿原则。学校要求学生在认真听取家长、班主任和专业教师意见后，理性决定是否转专业。</w:t>
      </w:r>
    </w:p>
    <w:p w14:paraId="71D55093">
      <w:pPr>
        <w:spacing w:line="432" w:lineRule="auto"/>
        <w:jc w:val="center"/>
      </w:pPr>
    </w:p>
    <w:sectPr>
      <w:footerReference r:id="rId5" w:type="default"/>
      <w:pgSz w:w="11906" w:h="16838"/>
      <w:pgMar w:top="1417" w:right="1417" w:bottom="1134" w:left="1417"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Courier">
    <w:altName w:val="Courier New"/>
    <w:panose1 w:val="02000500000000000000"/>
    <w:charset w:val="00"/>
    <w:family w:val="auto"/>
    <w:pitch w:val="default"/>
    <w:sig w:usb0="00000000" w:usb1="00000000" w:usb2="00000000" w:usb3="00000000" w:csb0="00000001" w:csb1="00000000"/>
  </w:font>
  <w:font w:name="Consolas">
    <w:panose1 w:val="020B0609020204030204"/>
    <w:charset w:val="00"/>
    <w:family w:val="auto"/>
    <w:pitch w:val="default"/>
    <w:sig w:usb0="E00006FF" w:usb1="0000FCFF" w:usb2="00000001" w:usb3="00000000" w:csb0="6000019F" w:csb1="DFD7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6C2D6">
    <w:pPr>
      <w:pStyle w:val="24"/>
      <w:tabs>
        <w:tab w:val="center" w:pos="4536"/>
        <w:tab w:val="right" w:pos="9072"/>
      </w:tabs>
    </w:pPr>
    <w:r>
      <w:tab/>
    </w:r>
    <w:r>
      <w:fldChar w:fldCharType="begin"/>
    </w:r>
    <w:r>
      <w:instrText xml:space="preserve">PAGE</w:instrText>
    </w:r>
    <w:r>
      <w:fldChar w:fldCharType="separate"/>
    </w:r>
    <w:r>
      <w:fldChar w:fldCharType="end"/>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6" w:lineRule="auto"/>
      </w:pPr>
      <w:r>
        <w:separator/>
      </w:r>
    </w:p>
  </w:footnote>
  <w:footnote w:type="continuationSeparator" w:id="1">
    <w:p>
      <w:pPr>
        <w:spacing w:before="0" w:after="0" w:line="31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5581C92"/>
    <w:rsid w:val="75A9057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44" w:line="316" w:lineRule="auto"/>
      <w:jc w:val="both"/>
    </w:pPr>
    <w:rPr>
      <w:rFonts w:ascii="宋体" w:hAnsi="宋体" w:eastAsia="宋体" w:cstheme="minorBidi"/>
      <w:color w:val="222222"/>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微软雅黑" w:hAnsi="微软雅黑" w:eastAsia="微软雅黑"/>
      <w:b/>
      <w:bCs/>
      <w:color w:val="1F4E79"/>
      <w:sz w:val="30"/>
      <w:szCs w:val="26"/>
    </w:rPr>
  </w:style>
  <w:style w:type="paragraph" w:styleId="5">
    <w:name w:val="heading 3"/>
    <w:basedOn w:val="1"/>
    <w:next w:val="1"/>
    <w:link w:val="140"/>
    <w:unhideWhenUsed/>
    <w:qFormat/>
    <w:uiPriority w:val="9"/>
    <w:pPr>
      <w:keepNext/>
      <w:keepLines/>
      <w:spacing w:before="200" w:after="0"/>
      <w:outlineLvl w:val="2"/>
    </w:pPr>
    <w:rPr>
      <w:rFonts w:ascii="微软雅黑" w:hAnsi="微软雅黑" w:eastAsia="微软雅黑"/>
      <w:b/>
      <w:bCs/>
      <w:color w:val="17375E"/>
      <w:sz w:val="24"/>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3339</Words>
  <Characters>3542</Characters>
  <Lines>0</Lines>
  <Paragraphs>0</Paragraphs>
  <TotalTime>9</TotalTime>
  <ScaleCrop>false</ScaleCrop>
  <LinksUpToDate>false</LinksUpToDate>
  <CharactersWithSpaces>3776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娃娃鱼</cp:lastModifiedBy>
  <dcterms:modified xsi:type="dcterms:W3CDTF">2026-09-04T13:28:29Z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270ABC82E46942D09F1DE8833AF62075_13</vt:lpwstr>
  </property>
  <property fmtid="{D5CDD505-2E9C-101B-9397-08002B2CF9AE}" pid="4" name="KSOTemplateDocerSaveRecord">
    <vt:lpwstr>eyJoZGlkIjoiZDY1YWQ0NGM0YzFlN2M0N2MyM2M0YTg2NDg2YTY1YmMiLCJ1c2VySWQiOiI3MjIyMjg4MDEifQ==</vt:lpwstr>
  </property>
</Properties>
</file>